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678"/>
      </w:tblGrid>
      <w:tr>
        <w:tc>
          <w:tcPr>
            <w:tcW w:type="dxa" w:w="9678"/>
            <w:shd w:val="clear" w:fill="1F6FEB"/>
          </w:tcPr>
          <w:p>
            <w:pPr>
              <w:spacing w:after="0" w:before="0"/>
              <w:jc w:val="center"/>
            </w:pPr>
            <w:r/>
            <w:r>
              <w:rPr>
                <w:rFonts w:ascii="Arial" w:hAnsi="Arial"/>
                <w:b/>
                <w:color w:val="FFFFFF"/>
                <w:sz w:val="20"/>
              </w:rPr>
              <w:t>Tertiary Infotech Academy Pte Ltd</w:t>
            </w:r>
          </w:p>
        </w:tc>
      </w:tr>
    </w:tbl>
    <w:p>
      <w:pPr>
        <w:spacing w:after="40" w:before="0"/>
      </w:pPr>
      <w:r>
        <w:rPr>
          <w:rFonts w:ascii="Arial" w:hAnsi="Arial"/>
          <w:b/>
          <w:i w:val="0"/>
          <w:color w:val="1F6FEB"/>
          <w:sz w:val="24"/>
        </w:rPr>
        <w:t>ACTIVITY 7 — FACILITATOR GUIDE</w:t>
      </w:r>
    </w:p>
    <w:p>
      <w:pPr>
        <w:spacing w:after="40" w:before="0"/>
      </w:pPr>
      <w:r>
        <w:rPr>
          <w:rFonts w:ascii="Arial" w:hAnsi="Arial"/>
          <w:b/>
          <w:i w:val="0"/>
          <w:color w:val="111827"/>
          <w:sz w:val="30"/>
        </w:rPr>
        <w:t>Stakeholder Register, Power/Interest Grid and Salience Model</w:t>
      </w:r>
    </w:p>
    <w:tbl>
      <w:tblPr>
        <w:tblW w:type="auto" w:w="0"/>
        <w:jc w:val="center"/>
        <w:tblLook w:firstColumn="1" w:firstRow="1" w:lastColumn="0" w:lastRow="0" w:noHBand="0" w:noVBand="1" w:val="04A0"/>
      </w:tblPr>
      <w:tblGrid>
        <w:gridCol w:w="2419"/>
        <w:gridCol w:w="2419"/>
        <w:gridCol w:w="2419"/>
        <w:gridCol w:w="2419"/>
      </w:tblGrid>
      <w:tr>
        <w:tc>
          <w:tcPr>
            <w:tcW w:type="dxa" w:w="2419"/>
            <w:shd w:val="clear" w:fill="F5F8FC"/>
          </w:tcPr>
          <w:p>
            <w:pPr>
              <w:spacing w:after="0" w:before="0"/>
            </w:pPr>
            <w:r/>
            <w:r>
              <w:rPr>
                <w:rFonts w:ascii="Arial" w:hAnsi="Arial"/>
                <w:b/>
                <w:color w:val="1F6FEB"/>
                <w:sz w:val="15"/>
              </w:rPr>
              <w:t>TYPE</w:t>
            </w:r>
          </w:p>
          <w:p>
            <w:pPr>
              <w:spacing w:after="0" w:before="0"/>
            </w:pPr>
            <w:r>
              <w:rPr>
                <w:rFonts w:ascii="Arial" w:hAnsi="Arial"/>
                <w:b w:val="0"/>
                <w:color w:val="1F6FEB"/>
                <w:sz w:val="15"/>
              </w:rPr>
              <w:t>Workshop</w:t>
            </w:r>
          </w:p>
        </w:tc>
        <w:tc>
          <w:tcPr>
            <w:tcW w:type="dxa" w:w="2419"/>
            <w:shd w:val="clear" w:fill="F5F8FC"/>
          </w:tcPr>
          <w:p>
            <w:pPr>
              <w:spacing w:after="0" w:before="0"/>
            </w:pPr>
            <w:r/>
            <w:r>
              <w:rPr>
                <w:rFonts w:ascii="Arial" w:hAnsi="Arial"/>
                <w:b/>
                <w:color w:val="1F6FEB"/>
                <w:sz w:val="15"/>
              </w:rPr>
              <w:t>DURATION</w:t>
            </w:r>
          </w:p>
          <w:p>
            <w:pPr>
              <w:spacing w:after="0" w:before="0"/>
            </w:pPr>
            <w:r>
              <w:rPr>
                <w:rFonts w:ascii="Arial" w:hAnsi="Arial"/>
                <w:b w:val="0"/>
                <w:color w:val="1F6FEB"/>
                <w:sz w:val="15"/>
              </w:rPr>
              <w:t>90 minutes</w:t>
            </w:r>
          </w:p>
        </w:tc>
        <w:tc>
          <w:tcPr>
            <w:tcW w:type="dxa" w:w="2419"/>
            <w:shd w:val="clear" w:fill="F5F8FC"/>
          </w:tcPr>
          <w:p>
            <w:pPr>
              <w:spacing w:after="0" w:before="0"/>
            </w:pPr>
            <w:r/>
            <w:r>
              <w:rPr>
                <w:rFonts w:ascii="Arial" w:hAnsi="Arial"/>
                <w:b/>
                <w:color w:val="1F6FEB"/>
                <w:sz w:val="15"/>
              </w:rPr>
              <w:t>MAPS TO</w:t>
            </w:r>
          </w:p>
          <w:p>
            <w:pPr>
              <w:spacing w:after="0" w:before="0"/>
            </w:pPr>
            <w:r>
              <w:rPr>
                <w:rFonts w:ascii="Arial" w:hAnsi="Arial"/>
                <w:b w:val="0"/>
                <w:color w:val="1F6FEB"/>
                <w:sz w:val="15"/>
              </w:rPr>
              <w:t>LO4</w:t>
            </w:r>
          </w:p>
        </w:tc>
        <w:tc>
          <w:tcPr>
            <w:tcW w:type="dxa" w:w="2419"/>
            <w:shd w:val="clear" w:fill="F5F8FC"/>
          </w:tcPr>
          <w:p>
            <w:pPr>
              <w:spacing w:after="0" w:before="0"/>
            </w:pPr>
            <w:r/>
            <w:r>
              <w:rPr>
                <w:rFonts w:ascii="Arial" w:hAnsi="Arial"/>
                <w:b/>
                <w:color w:val="1F6FEB"/>
                <w:sz w:val="15"/>
              </w:rPr>
              <w:t>TOPIC</w:t>
            </w:r>
          </w:p>
          <w:p>
            <w:pPr>
              <w:spacing w:after="0" w:before="0"/>
            </w:pPr>
            <w:r>
              <w:rPr>
                <w:rFonts w:ascii="Arial" w:hAnsi="Arial"/>
                <w:b w:val="0"/>
                <w:color w:val="1F6FEB"/>
                <w:sz w:val="15"/>
              </w:rPr>
              <w:t>2 - Start the Project</w:t>
            </w:r>
          </w:p>
        </w:tc>
      </w:tr>
    </w:tbl>
    <w:p>
      <w:pPr>
        <w:spacing w:after="40" w:before="0"/>
      </w:pPr>
    </w:p>
    <w:p>
      <w:pPr>
        <w:spacing w:before="280" w:after="100"/>
      </w:pPr>
      <w:r>
        <w:rPr>
          <w:rFonts w:ascii="Arial" w:hAnsi="Arial"/>
          <w:b/>
          <w:color w:val="111827"/>
          <w:sz w:val="26"/>
        </w:rPr>
        <w:t>Purpose of this activity</w:t>
      </w:r>
    </w:p>
    <w:p>
      <w:pPr>
        <w:spacing w:after="120" w:before="0"/>
      </w:pPr>
      <w:r>
        <w:rPr>
          <w:rFonts w:ascii="Arial" w:hAnsi="Arial"/>
          <w:b w:val="0"/>
          <w:i w:val="0"/>
          <w:color w:val="111827"/>
          <w:sz w:val="21"/>
        </w:rPr>
        <w:t>By the end of this activity learners will be able to identify the full stakeholder set, including the ones projects habitually forget.</w:t>
      </w:r>
    </w:p>
    <w:p>
      <w:pPr>
        <w:spacing w:before="280" w:after="100"/>
      </w:pPr>
      <w:r>
        <w:rPr>
          <w:rFonts w:ascii="Arial" w:hAnsi="Arial"/>
          <w:b/>
          <w:color w:val="111827"/>
          <w:sz w:val="26"/>
        </w:rPr>
        <w:t>What learners produce</w:t>
      </w:r>
    </w:p>
    <w:p>
      <w:pPr>
        <w:spacing w:after="120" w:before="0"/>
      </w:pPr>
      <w:r>
        <w:rPr>
          <w:rFonts w:ascii="Arial" w:hAnsi="Arial"/>
          <w:b w:val="0"/>
          <w:i w:val="0"/>
          <w:color w:val="111827"/>
          <w:sz w:val="21"/>
        </w:rPr>
        <w:t>stakeholder register, power interest grid, salience model — submitted to artifacts/.</w:t>
      </w:r>
    </w:p>
    <w:p>
      <w:pPr>
        <w:spacing w:before="280" w:after="100"/>
      </w:pPr>
      <w:r>
        <w:rPr>
          <w:rFonts w:ascii="Arial" w:hAnsi="Arial"/>
          <w:b/>
          <w:color w:val="111827"/>
          <w:sz w:val="26"/>
        </w:rPr>
        <w:t>Materials required</w:t>
      </w:r>
    </w:p>
    <w:p>
      <w:pPr>
        <w:pStyle w:val="ListBullet"/>
        <w:spacing w:after="40" w:before="0"/>
      </w:pPr>
      <w:r>
        <w:rPr>
          <w:rFonts w:ascii="Arial" w:hAnsi="Arial"/>
          <w:b w:val="0"/>
          <w:i w:val="0"/>
          <w:color w:val="111827"/>
          <w:sz w:val="21"/>
        </w:rPr>
        <w:t>Learner Worksheet (one per learner)</w:t>
      </w:r>
    </w:p>
    <w:p>
      <w:pPr>
        <w:pStyle w:val="ListBullet"/>
        <w:spacing w:after="40" w:before="0"/>
      </w:pPr>
      <w:r>
        <w:rPr>
          <w:rFonts w:ascii="Arial" w:hAnsi="Arial"/>
          <w:b w:val="0"/>
          <w:i w:val="0"/>
          <w:color w:val="111827"/>
          <w:sz w:val="21"/>
        </w:rPr>
        <w:t>Checklist (one per group)</w:t>
      </w:r>
    </w:p>
    <w:p>
      <w:pPr>
        <w:pStyle w:val="ListBullet"/>
        <w:spacing w:after="40" w:before="0"/>
      </w:pPr>
      <w:r>
        <w:rPr>
          <w:rFonts w:ascii="Arial" w:hAnsi="Arial"/>
          <w:b w:val="0"/>
          <w:i w:val="0"/>
          <w:color w:val="111827"/>
          <w:sz w:val="21"/>
        </w:rPr>
        <w:t>Laptop with internet access for the live problem-solving tools</w:t>
      </w:r>
    </w:p>
    <w:p>
      <w:pPr>
        <w:pStyle w:val="ListBullet"/>
        <w:spacing w:after="40" w:before="0"/>
      </w:pPr>
      <w:r>
        <w:rPr>
          <w:rFonts w:ascii="Arial" w:hAnsi="Arial"/>
          <w:b w:val="0"/>
          <w:i w:val="0"/>
          <w:color w:val="111827"/>
          <w:sz w:val="21"/>
        </w:rPr>
        <w:t>The course slides for the framework and worked example</w:t>
      </w:r>
    </w:p>
    <w:p>
      <w:pPr>
        <w:spacing w:before="280" w:after="100"/>
      </w:pPr>
      <w:r>
        <w:rPr>
          <w:rFonts w:ascii="Arial" w:hAnsi="Arial"/>
          <w:b/>
          <w:color w:val="111827"/>
          <w:sz w:val="26"/>
        </w:rPr>
        <w:t>Set-up</w:t>
      </w:r>
    </w:p>
    <w:p>
      <w:pPr>
        <w:spacing w:after="120" w:before="0"/>
      </w:pPr>
      <w:r>
        <w:rPr>
          <w:rFonts w:ascii="Arial" w:hAnsi="Arial"/>
          <w:b w:val="0"/>
          <w:i w:val="0"/>
          <w:color w:val="111827"/>
          <w:sz w:val="21"/>
        </w:rPr>
        <w:t>Groups of 3 to 4. Distribute one worksheet per learner and one checklist per group; each group needs one laptop for the calculations.</w:t>
      </w:r>
    </w:p>
    <w:p>
      <w:pPr>
        <w:spacing w:before="280" w:after="100"/>
      </w:pPr>
      <w:r>
        <w:rPr>
          <w:rFonts w:ascii="Arial" w:hAnsi="Arial"/>
          <w:b/>
          <w:color w:val="111827"/>
          <w:sz w:val="26"/>
        </w:rPr>
        <w:t>Scenario / briefing material</w:t>
      </w:r>
    </w:p>
    <w:p>
      <w:pPr>
        <w:spacing w:after="120" w:before="0"/>
      </w:pPr>
      <w:r>
        <w:rPr>
          <w:rFonts w:ascii="Arial" w:hAnsi="Arial"/>
          <w:b w:val="0"/>
          <w:i w:val="0"/>
          <w:color w:val="111827"/>
          <w:sz w:val="21"/>
        </w:rPr>
        <w:t>Contoso Learning Pte Ltd is a training provider with 14,000 active learners. Its course registration portal is 9 years old. Registration takes a median of 11 minutes and 34% of attempts are abandoned. Learner communications consume 24 staff-hours per week across 3 administrators. 62% of learner traffic is mobile, against a portal that is not responsive. Legacy consent screens do not meet current PDPA requirements. The project modernises course registration and learner communications.</w:t>
      </w:r>
    </w:p>
    <w:p>
      <w:pPr>
        <w:spacing w:before="280" w:after="100"/>
      </w:pPr>
      <w:r>
        <w:rPr>
          <w:rFonts w:ascii="Arial" w:hAnsi="Arial"/>
          <w:b/>
          <w:color w:val="111827"/>
          <w:sz w:val="26"/>
        </w:rPr>
        <w:t>How to run it — step by step</w:t>
      </w:r>
    </w:p>
    <w:tbl>
      <w:tblPr>
        <w:tblW w:type="auto" w:w="0"/>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576"/>
        <w:gridCol w:w="4752"/>
        <w:gridCol w:w="3888"/>
      </w:tblGrid>
      <w:tr>
        <w:tc>
          <w:tcPr>
            <w:tcW w:type="dxa" w:w="3226"/>
            <w:shd w:val="clear" w:fill="1F6FEB"/>
          </w:tcPr>
          <w:p>
            <w:pPr>
              <w:spacing w:after="0" w:before="0"/>
            </w:pPr>
            <w:r/>
            <w:r>
              <w:rPr>
                <w:rFonts w:ascii="Arial" w:hAnsi="Arial"/>
                <w:b/>
                <w:color w:val="FFFFFF"/>
                <w:sz w:val="18"/>
              </w:rPr>
              <w:t>#</w:t>
            </w:r>
          </w:p>
        </w:tc>
        <w:tc>
          <w:tcPr>
            <w:tcW w:type="dxa" w:w="3226"/>
            <w:shd w:val="clear" w:fill="1F6FEB"/>
          </w:tcPr>
          <w:p>
            <w:pPr>
              <w:spacing w:after="0" w:before="0"/>
            </w:pPr>
            <w:r/>
            <w:r>
              <w:rPr>
                <w:rFonts w:ascii="Arial" w:hAnsi="Arial"/>
                <w:b/>
                <w:color w:val="FFFFFF"/>
                <w:sz w:val="18"/>
              </w:rPr>
              <w:t>Instruction to learners</w:t>
            </w:r>
          </w:p>
        </w:tc>
        <w:tc>
          <w:tcPr>
            <w:tcW w:type="dxa" w:w="3226"/>
            <w:shd w:val="clear" w:fill="1F6FEB"/>
          </w:tcPr>
          <w:p>
            <w:pPr>
              <w:spacing w:after="0" w:before="0"/>
            </w:pPr>
            <w:r/>
            <w:r>
              <w:rPr>
                <w:rFonts w:ascii="Arial" w:hAnsi="Arial"/>
                <w:b/>
                <w:color w:val="FFFFFF"/>
                <w:sz w:val="18"/>
              </w:rPr>
              <w:t>Facilitator note</w:t>
            </w:r>
          </w:p>
        </w:tc>
      </w:tr>
      <w:tr>
        <w:tc>
          <w:tcPr>
            <w:tcW w:type="dxa" w:w="576"/>
          </w:tcPr>
          <w:p>
            <w:pPr>
              <w:spacing w:after="0" w:before="0"/>
            </w:pPr>
            <w:r/>
            <w:r>
              <w:rPr>
                <w:rFonts w:ascii="Arial" w:hAnsi="Arial"/>
                <w:b/>
                <w:color w:val="1F6FEB"/>
                <w:sz w:val="18"/>
              </w:rPr>
              <w:t>1</w:t>
            </w:r>
          </w:p>
        </w:tc>
        <w:tc>
          <w:tcPr>
            <w:tcW w:type="dxa" w:w="4752"/>
          </w:tcPr>
          <w:p>
            <w:pPr>
              <w:spacing w:after="0" w:before="0"/>
            </w:pPr>
            <w:r/>
            <w:r>
              <w:rPr>
                <w:rFonts w:ascii="Arial" w:hAnsi="Arial"/>
                <w:b w:val="0"/>
                <w:color w:val="111827"/>
                <w:sz w:val="18"/>
              </w:rPr>
              <w:t>Identify stakeholders. Identification is not a five-minute brainstorm. Work through categories systematically so you catch the ones that get missed.</w:t>
            </w:r>
          </w:p>
        </w:tc>
        <w:tc>
          <w:tcPr>
            <w:tcW w:type="dxa" w:w="3888"/>
          </w:tcPr>
          <w:p>
            <w:pPr>
              <w:spacing w:after="0" w:before="0"/>
            </w:pPr>
            <w:r/>
            <w:r>
              <w:rPr>
                <w:rFonts w:ascii="Arial" w:hAnsi="Arial"/>
                <w:b w:val="0"/>
                <w:color w:val="555F6D"/>
                <w:sz w:val="18"/>
              </w:rPr>
              <w:t>Keep role-holders in role; learners drift to consensus. Push for the concern behind the stated position.</w:t>
            </w:r>
          </w:p>
        </w:tc>
      </w:tr>
      <w:tr>
        <w:tc>
          <w:tcPr>
            <w:tcW w:type="dxa" w:w="576"/>
          </w:tcPr>
          <w:p>
            <w:pPr>
              <w:spacing w:after="0" w:before="0"/>
            </w:pPr>
            <w:r/>
            <w:r>
              <w:rPr>
                <w:rFonts w:ascii="Arial" w:hAnsi="Arial"/>
                <w:b/>
                <w:color w:val="1F6FEB"/>
                <w:sz w:val="18"/>
              </w:rPr>
              <w:t>2</w:t>
            </w:r>
          </w:p>
        </w:tc>
        <w:tc>
          <w:tcPr>
            <w:tcW w:type="dxa" w:w="4752"/>
          </w:tcPr>
          <w:p>
            <w:pPr>
              <w:spacing w:after="0" w:before="0"/>
            </w:pPr>
            <w:r/>
            <w:r>
              <w:rPr>
                <w:rFonts w:ascii="Arial" w:hAnsi="Arial"/>
                <w:b w:val="0"/>
                <w:color w:val="111827"/>
                <w:sz w:val="18"/>
              </w:rPr>
              <w:t>Build the stakeholder register. Create artifacts/07-stakeholder-register.md. Score power and interest 1-5. Attitude uses: Champion, Supporter, Neutral, Resistant, Blocker.</w:t>
            </w:r>
          </w:p>
        </w:tc>
        <w:tc>
          <w:tcPr>
            <w:tcW w:type="dxa" w:w="3888"/>
          </w:tcPr>
          <w:p>
            <w:pPr>
              <w:spacing w:after="0" w:before="0"/>
            </w:pPr>
            <w:r/>
            <w:r>
              <w:rPr>
                <w:rFonts w:ascii="Arial" w:hAnsi="Arial"/>
                <w:b w:val="0"/>
                <w:color w:val="555F6D"/>
                <w:sz w:val="18"/>
              </w:rPr>
              <w:t>Make a group state the UNITS and the base date. Most errors here are unit errors, not maths errors.</w:t>
            </w:r>
          </w:p>
        </w:tc>
      </w:tr>
      <w:tr>
        <w:tc>
          <w:tcPr>
            <w:tcW w:type="dxa" w:w="576"/>
          </w:tcPr>
          <w:p>
            <w:pPr>
              <w:spacing w:after="0" w:before="0"/>
            </w:pPr>
            <w:r/>
            <w:r>
              <w:rPr>
                <w:rFonts w:ascii="Arial" w:hAnsi="Arial"/>
                <w:b/>
                <w:color w:val="1F6FEB"/>
                <w:sz w:val="18"/>
              </w:rPr>
              <w:t>3</w:t>
            </w:r>
          </w:p>
        </w:tc>
        <w:tc>
          <w:tcPr>
            <w:tcW w:type="dxa" w:w="4752"/>
          </w:tcPr>
          <w:p>
            <w:pPr>
              <w:spacing w:after="0" w:before="0"/>
            </w:pPr>
            <w:r/>
            <w:r>
              <w:rPr>
                <w:rFonts w:ascii="Arial" w:hAnsi="Arial"/>
                <w:b w:val="0"/>
                <w:color w:val="111827"/>
                <w:sz w:val="18"/>
              </w:rPr>
              <w:t>Plot the power/interest grid. Create artifacts/07-power-interest-grid.md. Power 4-5 is high; interest 4-5 is high.</w:t>
            </w:r>
          </w:p>
        </w:tc>
        <w:tc>
          <w:tcPr>
            <w:tcW w:type="dxa" w:w="3888"/>
          </w:tcPr>
          <w:p>
            <w:pPr>
              <w:spacing w:after="0" w:before="0"/>
            </w:pPr>
            <w:r/>
            <w:r>
              <w:rPr>
                <w:rFonts w:ascii="Arial" w:hAnsi="Arial"/>
                <w:b w:val="0"/>
                <w:color w:val="555F6D"/>
                <w:sz w:val="18"/>
              </w:rPr>
              <w:t>Have one group present a single row rather than the whole artifact — depth over coverage.</w:t>
            </w:r>
          </w:p>
        </w:tc>
      </w:tr>
      <w:tr>
        <w:tc>
          <w:tcPr>
            <w:tcW w:type="dxa" w:w="576"/>
          </w:tcPr>
          <w:p>
            <w:pPr>
              <w:spacing w:after="0" w:before="0"/>
            </w:pPr>
            <w:r/>
            <w:r>
              <w:rPr>
                <w:rFonts w:ascii="Arial" w:hAnsi="Arial"/>
                <w:b/>
                <w:color w:val="1F6FEB"/>
                <w:sz w:val="18"/>
              </w:rPr>
              <w:t>4</w:t>
            </w:r>
          </w:p>
        </w:tc>
        <w:tc>
          <w:tcPr>
            <w:tcW w:type="dxa" w:w="4752"/>
          </w:tcPr>
          <w:p>
            <w:pPr>
              <w:spacing w:after="0" w:before="0"/>
            </w:pPr>
            <w:r/>
            <w:r>
              <w:rPr>
                <w:rFonts w:ascii="Arial" w:hAnsi="Arial"/>
                <w:b w:val="0"/>
                <w:color w:val="111827"/>
                <w:sz w:val="18"/>
              </w:rPr>
              <w:t>Apply the salience model where the grid fails. The power/interest grid has a blind spot: it cannot distinguish a stakeholder with a legitimate claim from one who is merely loud, and it has no concept of urgency. The salience model adds those two dimensions.</w:t>
            </w:r>
          </w:p>
        </w:tc>
        <w:tc>
          <w:tcPr>
            <w:tcW w:type="dxa" w:w="3888"/>
          </w:tcPr>
          <w:p>
            <w:pPr>
              <w:spacing w:after="0" w:before="0"/>
            </w:pPr>
            <w:r/>
            <w:r>
              <w:rPr>
                <w:rFonts w:ascii="Arial" w:hAnsi="Arial"/>
                <w:b w:val="0"/>
                <w:color w:val="555F6D"/>
                <w:sz w:val="18"/>
              </w:rPr>
              <w:t>Keep role-holders in role; learners drift to consensus. Push for the concern behind the stated position.</w:t>
            </w:r>
          </w:p>
        </w:tc>
      </w:tr>
      <w:tr>
        <w:tc>
          <w:tcPr>
            <w:tcW w:type="dxa" w:w="576"/>
          </w:tcPr>
          <w:p>
            <w:pPr>
              <w:spacing w:after="0" w:before="0"/>
            </w:pPr>
            <w:r/>
            <w:r>
              <w:rPr>
                <w:rFonts w:ascii="Arial" w:hAnsi="Arial"/>
                <w:b/>
                <w:color w:val="1F6FEB"/>
                <w:sz w:val="18"/>
              </w:rPr>
              <w:t>5</w:t>
            </w:r>
          </w:p>
        </w:tc>
        <w:tc>
          <w:tcPr>
            <w:tcW w:type="dxa" w:w="4752"/>
          </w:tcPr>
          <w:p>
            <w:pPr>
              <w:spacing w:after="0" w:before="0"/>
            </w:pPr>
            <w:r/>
            <w:r>
              <w:rPr>
                <w:rFonts w:ascii="Arial" w:hAnsi="Arial"/>
                <w:b w:val="0"/>
                <w:color w:val="111827"/>
                <w:sz w:val="18"/>
              </w:rPr>
              <w:t>Build the engagement matrix. Create artifacts/07-engagement-matrix.md. Levels: Unaware, Resistant, Neutral, Supportive, Leading. Mark C for current and D for desired.</w:t>
            </w:r>
          </w:p>
        </w:tc>
        <w:tc>
          <w:tcPr>
            <w:tcW w:type="dxa" w:w="3888"/>
          </w:tcPr>
          <w:p>
            <w:pPr>
              <w:spacing w:after="0" w:before="0"/>
            </w:pPr>
            <w:r/>
            <w:r>
              <w:rPr>
                <w:rFonts w:ascii="Arial" w:hAnsi="Arial"/>
                <w:b w:val="0"/>
                <w:color w:val="555F6D"/>
                <w:sz w:val="18"/>
              </w:rPr>
              <w:t>Make a group state the UNITS and the base date. Most errors here are unit errors, not maths errors.</w:t>
            </w:r>
          </w:p>
        </w:tc>
      </w:tr>
      <w:tr>
        <w:tc>
          <w:tcPr>
            <w:tcW w:type="dxa" w:w="576"/>
          </w:tcPr>
          <w:p>
            <w:pPr>
              <w:spacing w:after="0" w:before="0"/>
            </w:pPr>
            <w:r/>
            <w:r>
              <w:rPr>
                <w:rFonts w:ascii="Arial" w:hAnsi="Arial"/>
                <w:b/>
                <w:color w:val="1F6FEB"/>
                <w:sz w:val="18"/>
              </w:rPr>
              <w:t>6</w:t>
            </w:r>
          </w:p>
        </w:tc>
        <w:tc>
          <w:tcPr>
            <w:tcW w:type="dxa" w:w="4752"/>
          </w:tcPr>
          <w:p>
            <w:pPr>
              <w:spacing w:after="0" w:before="0"/>
            </w:pPr>
            <w:r/>
            <w:r>
              <w:rPr>
                <w:rFonts w:ascii="Arial" w:hAnsi="Arial"/>
                <w:b w:val="0"/>
                <w:color w:val="111827"/>
                <w:sz w:val="18"/>
              </w:rPr>
              <w:t>Surface and resolve misaligned expectations. ECO People T5 requires you to "facilitate discussions to align expectations". You cannot align what you have not written down. Three misalignments are already visible in the case.</w:t>
            </w:r>
          </w:p>
        </w:tc>
        <w:tc>
          <w:tcPr>
            <w:tcW w:type="dxa" w:w="3888"/>
          </w:tcPr>
          <w:p>
            <w:pPr>
              <w:spacing w:after="0" w:before="0"/>
            </w:pPr>
            <w:r/>
            <w:r>
              <w:rPr>
                <w:rFonts w:ascii="Arial" w:hAnsi="Arial"/>
                <w:b w:val="0"/>
                <w:color w:val="555F6D"/>
                <w:sz w:val="18"/>
              </w:rPr>
              <w:t>Ask what the number would have to be before the decision flips. That is the exam's favourite question.</w:t>
            </w:r>
          </w:p>
        </w:tc>
      </w:tr>
      <w:tr>
        <w:tc>
          <w:tcPr>
            <w:tcW w:type="dxa" w:w="576"/>
          </w:tcPr>
          <w:p>
            <w:pPr>
              <w:spacing w:after="0" w:before="0"/>
            </w:pPr>
            <w:r/>
            <w:r>
              <w:rPr>
                <w:rFonts w:ascii="Arial" w:hAnsi="Arial"/>
                <w:b/>
                <w:color w:val="1F6FEB"/>
                <w:sz w:val="18"/>
              </w:rPr>
              <w:t>7</w:t>
            </w:r>
          </w:p>
        </w:tc>
        <w:tc>
          <w:tcPr>
            <w:tcW w:type="dxa" w:w="4752"/>
          </w:tcPr>
          <w:p>
            <w:pPr>
              <w:spacing w:after="0" w:before="0"/>
            </w:pPr>
            <w:r/>
            <w:r>
              <w:rPr>
                <w:rFonts w:ascii="Arial" w:hAnsi="Arial"/>
                <w:b w:val="0"/>
                <w:color w:val="111827"/>
                <w:sz w:val="18"/>
              </w:rPr>
              <w:t>Set the engagement cadence. This table becomes the input to the Lab 18 communication plan, where you will size it against the channels formula.</w:t>
            </w:r>
          </w:p>
        </w:tc>
        <w:tc>
          <w:tcPr>
            <w:tcW w:type="dxa" w:w="3888"/>
          </w:tcPr>
          <w:p>
            <w:pPr>
              <w:spacing w:after="0" w:before="0"/>
            </w:pPr>
            <w:r/>
            <w:r>
              <w:rPr>
                <w:rFonts w:ascii="Arial" w:hAnsi="Arial"/>
                <w:b w:val="0"/>
                <w:color w:val="555F6D"/>
                <w:sz w:val="18"/>
              </w:rPr>
              <w:t>Check the arithmetic on one group's numbers before moving on — a wrong sign propagates into every later step.</w:t>
            </w:r>
          </w:p>
        </w:tc>
      </w:tr>
      <w:tr>
        <w:tc>
          <w:tcPr>
            <w:tcW w:type="dxa" w:w="576"/>
          </w:tcPr>
          <w:p>
            <w:pPr>
              <w:spacing w:after="0" w:before="0"/>
            </w:pPr>
            <w:r/>
            <w:r>
              <w:rPr>
                <w:rFonts w:ascii="Arial" w:hAnsi="Arial"/>
                <w:b/>
                <w:color w:val="1F6FEB"/>
                <w:sz w:val="18"/>
              </w:rPr>
              <w:t>8</w:t>
            </w:r>
          </w:p>
        </w:tc>
        <w:tc>
          <w:tcPr>
            <w:tcW w:type="dxa" w:w="4752"/>
          </w:tcPr>
          <w:p>
            <w:pPr>
              <w:spacing w:after="0" w:before="0"/>
            </w:pPr>
            <w:r/>
            <w:r>
              <w:rPr>
                <w:rFonts w:ascii="Arial" w:hAnsi="Arial"/>
                <w:b w:val="0"/>
                <w:color w:val="111827"/>
                <w:sz w:val="18"/>
              </w:rPr>
              <w:t>Answer the exam-style scenarios</w:t>
            </w:r>
          </w:p>
        </w:tc>
        <w:tc>
          <w:tcPr>
            <w:tcW w:type="dxa" w:w="3888"/>
          </w:tcPr>
          <w:p>
            <w:pPr>
              <w:spacing w:after="0" w:before="0"/>
            </w:pPr>
            <w:r/>
            <w:r>
              <w:rPr>
                <w:rFonts w:ascii="Arial" w:hAnsi="Arial"/>
                <w:b w:val="0"/>
                <w:color w:val="555F6D"/>
                <w:sz w:val="18"/>
              </w:rPr>
              <w:t>Make a group state the UNITS and the base date. Most errors here are unit errors, not maths errors.</w:t>
            </w:r>
          </w:p>
        </w:tc>
      </w:tr>
    </w:tbl>
    <w:p>
      <w:pPr>
        <w:spacing w:before="280" w:after="100"/>
      </w:pPr>
      <w:r>
        <w:rPr>
          <w:rFonts w:ascii="Arial" w:hAnsi="Arial"/>
          <w:b/>
          <w:color w:val="111827"/>
          <w:sz w:val="26"/>
        </w:rPr>
        <w:t>Suggested timing</w:t>
      </w:r>
    </w:p>
    <w:tbl>
      <w:tblPr>
        <w:tblW w:type="auto" w:w="0"/>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296"/>
        <w:gridCol w:w="7776"/>
      </w:tblGrid>
      <w:tr>
        <w:tc>
          <w:tcPr>
            <w:tcW w:type="dxa" w:w="4839"/>
            <w:shd w:val="clear" w:fill="1F6FEB"/>
          </w:tcPr>
          <w:p>
            <w:pPr>
              <w:spacing w:after="0" w:before="0"/>
            </w:pPr>
            <w:r/>
            <w:r>
              <w:rPr>
                <w:rFonts w:ascii="Arial" w:hAnsi="Arial"/>
                <w:b/>
                <w:color w:val="FFFFFF"/>
                <w:sz w:val="18"/>
              </w:rPr>
              <w:t>Minutes</w:t>
            </w:r>
          </w:p>
        </w:tc>
        <w:tc>
          <w:tcPr>
            <w:tcW w:type="dxa" w:w="4839"/>
            <w:shd w:val="clear" w:fill="1F6FEB"/>
          </w:tcPr>
          <w:p>
            <w:pPr>
              <w:spacing w:after="0" w:before="0"/>
            </w:pPr>
            <w:r/>
            <w:r>
              <w:rPr>
                <w:rFonts w:ascii="Arial" w:hAnsi="Arial"/>
                <w:b/>
                <w:color w:val="FFFFFF"/>
                <w:sz w:val="18"/>
              </w:rPr>
              <w:t>Phase</w:t>
            </w:r>
          </w:p>
        </w:tc>
      </w:tr>
      <w:tr>
        <w:tc>
          <w:tcPr>
            <w:tcW w:type="dxa" w:w="1296"/>
          </w:tcPr>
          <w:p>
            <w:pPr>
              <w:spacing w:after="0" w:before="0"/>
            </w:pPr>
            <w:r/>
            <w:r>
              <w:rPr>
                <w:rFonts w:ascii="Arial" w:hAnsi="Arial"/>
                <w:b/>
                <w:color w:val="1F6FEB"/>
                <w:sz w:val="18"/>
              </w:rPr>
              <w:t>9 min</w:t>
            </w:r>
          </w:p>
        </w:tc>
        <w:tc>
          <w:tcPr>
            <w:tcW w:type="dxa" w:w="7776"/>
          </w:tcPr>
          <w:p>
            <w:pPr>
              <w:spacing w:after="0" w:before="0"/>
            </w:pPr>
            <w:r/>
            <w:r>
              <w:rPr>
                <w:rFonts w:ascii="Arial" w:hAnsi="Arial"/>
                <w:b w:val="0"/>
                <w:color w:val="111827"/>
                <w:sz w:val="18"/>
              </w:rPr>
              <w:t>Brief the scenario, confirm the inputs and assign roles</w:t>
            </w:r>
          </w:p>
        </w:tc>
      </w:tr>
      <w:tr>
        <w:tc>
          <w:tcPr>
            <w:tcW w:type="dxa" w:w="1296"/>
          </w:tcPr>
          <w:p>
            <w:pPr>
              <w:spacing w:after="0" w:before="0"/>
            </w:pPr>
            <w:r/>
            <w:r>
              <w:rPr>
                <w:rFonts w:ascii="Arial" w:hAnsi="Arial"/>
                <w:b/>
                <w:color w:val="1F6FEB"/>
                <w:sz w:val="18"/>
              </w:rPr>
              <w:t>33 min</w:t>
            </w:r>
          </w:p>
        </w:tc>
        <w:tc>
          <w:tcPr>
            <w:tcW w:type="dxa" w:w="7776"/>
          </w:tcPr>
          <w:p>
            <w:pPr>
              <w:spacing w:after="0" w:before="0"/>
            </w:pPr>
            <w:r/>
            <w:r>
              <w:rPr>
                <w:rFonts w:ascii="Arial" w:hAnsi="Arial"/>
                <w:b w:val="0"/>
                <w:color w:val="111827"/>
                <w:sz w:val="18"/>
              </w:rPr>
              <w:t>Work the first half of the steps individually, then pool as a group</w:t>
            </w:r>
          </w:p>
        </w:tc>
      </w:tr>
      <w:tr>
        <w:tc>
          <w:tcPr>
            <w:tcW w:type="dxa" w:w="1296"/>
          </w:tcPr>
          <w:p>
            <w:pPr>
              <w:spacing w:after="0" w:before="0"/>
            </w:pPr>
            <w:r/>
            <w:r>
              <w:rPr>
                <w:rFonts w:ascii="Arial" w:hAnsi="Arial"/>
                <w:b/>
                <w:color w:val="1F6FEB"/>
                <w:sz w:val="18"/>
              </w:rPr>
              <w:t>34 min</w:t>
            </w:r>
          </w:p>
        </w:tc>
        <w:tc>
          <w:tcPr>
            <w:tcW w:type="dxa" w:w="7776"/>
          </w:tcPr>
          <w:p>
            <w:pPr>
              <w:spacing w:after="0" w:before="0"/>
            </w:pPr>
            <w:r/>
            <w:r>
              <w:rPr>
                <w:rFonts w:ascii="Arial" w:hAnsi="Arial"/>
                <w:b w:val="0"/>
                <w:color w:val="111827"/>
                <w:sz w:val="18"/>
              </w:rPr>
              <w:t>Complete the remaining steps and finalise the deliverable</w:t>
            </w:r>
          </w:p>
        </w:tc>
      </w:tr>
      <w:tr>
        <w:tc>
          <w:tcPr>
            <w:tcW w:type="dxa" w:w="1296"/>
          </w:tcPr>
          <w:p>
            <w:pPr>
              <w:spacing w:after="0" w:before="0"/>
            </w:pPr>
            <w:r/>
            <w:r>
              <w:rPr>
                <w:rFonts w:ascii="Arial" w:hAnsi="Arial"/>
                <w:b/>
                <w:color w:val="1F6FEB"/>
                <w:sz w:val="18"/>
              </w:rPr>
              <w:t>14 min</w:t>
            </w:r>
          </w:p>
        </w:tc>
        <w:tc>
          <w:tcPr>
            <w:tcW w:type="dxa" w:w="7776"/>
          </w:tcPr>
          <w:p>
            <w:pPr>
              <w:spacing w:after="0" w:before="0"/>
            </w:pPr>
            <w:r/>
            <w:r>
              <w:rPr>
                <w:rFonts w:ascii="Arial" w:hAnsi="Arial"/>
                <w:b w:val="0"/>
                <w:color w:val="111827"/>
                <w:sz w:val="18"/>
              </w:rPr>
              <w:t>Group share-back, facilitator debrief and exam-style linkage</w:t>
            </w:r>
          </w:p>
        </w:tc>
      </w:tr>
    </w:tbl>
    <w:p>
      <w:pPr>
        <w:spacing w:after="120" w:before="120"/>
      </w:pPr>
      <w:r>
        <w:rPr>
          <w:rFonts w:ascii="Arial" w:hAnsi="Arial"/>
          <w:b/>
          <w:i w:val="0"/>
          <w:color w:val="111827"/>
          <w:sz w:val="21"/>
        </w:rPr>
        <w:t>Total: 90 minutes</w:t>
      </w:r>
    </w:p>
    <w:p>
      <w:pPr>
        <w:spacing w:before="280" w:after="100"/>
      </w:pPr>
      <w:r>
        <w:rPr>
          <w:rFonts w:ascii="Arial" w:hAnsi="Arial"/>
          <w:b/>
          <w:color w:val="111827"/>
          <w:sz w:val="26"/>
        </w:rPr>
        <w:t>Discussion &amp; decision prompts</w:t>
      </w:r>
    </w:p>
    <w:p>
      <w:pPr>
        <w:pStyle w:val="ListNumber"/>
        <w:spacing w:after="60" w:before="0"/>
      </w:pPr>
      <w:r>
        <w:rPr>
          <w:rFonts w:ascii="Arial" w:hAnsi="Arial"/>
          <w:b w:val="0"/>
          <w:i w:val="0"/>
          <w:color w:val="111827"/>
          <w:sz w:val="21"/>
        </w:rPr>
        <w:t>Identify the full stakeholder set, including the ones projects habitually forget — how did your group decide, and what would change that decision?</w:t>
      </w:r>
    </w:p>
    <w:p>
      <w:pPr>
        <w:pStyle w:val="ListNumber"/>
        <w:spacing w:after="60" w:before="0"/>
      </w:pPr>
      <w:r>
        <w:rPr>
          <w:rFonts w:ascii="Arial" w:hAnsi="Arial"/>
          <w:b w:val="0"/>
          <w:i w:val="0"/>
          <w:color w:val="111827"/>
          <w:sz w:val="21"/>
        </w:rPr>
        <w:t>Analyse each stakeholder on power, interest, attitude and impact — how did your group decide, and what would change that decision?</w:t>
      </w:r>
    </w:p>
    <w:p>
      <w:pPr>
        <w:pStyle w:val="ListNumber"/>
        <w:spacing w:after="60" w:before="0"/>
      </w:pPr>
      <w:r>
        <w:rPr>
          <w:rFonts w:ascii="Arial" w:hAnsi="Arial"/>
          <w:b w:val="0"/>
          <w:i w:val="0"/>
          <w:color w:val="111827"/>
          <w:sz w:val="21"/>
        </w:rPr>
        <w:t>Plot the power/interest grid and derive the engagement strategy each quadrant demands — how did your group decide, and what would change that decision?</w:t>
      </w:r>
    </w:p>
    <w:p>
      <w:pPr>
        <w:pStyle w:val="ListNumber"/>
        <w:spacing w:after="60" w:before="0"/>
      </w:pPr>
      <w:r>
        <w:rPr>
          <w:rFonts w:ascii="Arial" w:hAnsi="Arial"/>
          <w:b w:val="0"/>
          <w:i w:val="0"/>
          <w:color w:val="111827"/>
          <w:sz w:val="21"/>
        </w:rPr>
        <w:t>Your register includes the three admin staff. A register listing only powerful people is a list of bosses, not a stakeholder register — can every member of your group defend it?</w:t>
      </w:r>
    </w:p>
    <w:p>
      <w:pPr>
        <w:pStyle w:val="ListNumber"/>
        <w:spacing w:after="60" w:before="0"/>
      </w:pPr>
      <w:r>
        <w:rPr>
          <w:rFonts w:ascii="Arial" w:hAnsi="Arial"/>
          <w:b w:val="0"/>
          <w:i w:val="0"/>
          <w:color w:val="111827"/>
          <w:sz w:val="21"/>
        </w:rPr>
        <w:t>Where would stakeholder register, power/interest grid and salience model have saved you time or money on a real project you have worked on?</w:t>
      </w:r>
    </w:p>
    <w:p>
      <w:pPr>
        <w:spacing w:before="280" w:after="100"/>
      </w:pPr>
      <w:r>
        <w:rPr>
          <w:rFonts w:ascii="Arial" w:hAnsi="Arial"/>
          <w:b/>
          <w:color w:val="111827"/>
          <w:sz w:val="26"/>
        </w:rPr>
        <w:t>What good looks like</w:t>
      </w:r>
    </w:p>
    <w:p>
      <w:pPr>
        <w:pStyle w:val="ListBullet"/>
        <w:spacing w:after="40" w:before="0"/>
      </w:pPr>
      <w:r>
        <w:rPr>
          <w:rFonts w:ascii="Arial" w:hAnsi="Arial"/>
          <w:b w:val="0"/>
          <w:i w:val="0"/>
          <w:color w:val="111827"/>
          <w:sz w:val="21"/>
        </w:rPr>
        <w:t>Your register includes the three admin staff. A register listing only powerful people is a list of bosses, not a stakeholder register.</w:t>
      </w:r>
    </w:p>
    <w:p>
      <w:pPr>
        <w:pStyle w:val="ListBullet"/>
        <w:spacing w:after="40" w:before="0"/>
      </w:pPr>
      <w:r>
        <w:rPr>
          <w:rFonts w:ascii="Arial" w:hAnsi="Arial"/>
          <w:b w:val="0"/>
          <w:i w:val="0"/>
          <w:color w:val="111827"/>
          <w:sz w:val="21"/>
        </w:rPr>
        <w:t>Every stakeholder has a numeric power and interest score, and their grid position matches those scores.</w:t>
      </w:r>
    </w:p>
    <w:p>
      <w:pPr>
        <w:pStyle w:val="ListBullet"/>
        <w:spacing w:after="40" w:before="0"/>
      </w:pPr>
      <w:r>
        <w:rPr>
          <w:rFonts w:ascii="Arial" w:hAnsi="Arial"/>
          <w:b w:val="0"/>
          <w:i w:val="0"/>
          <w:color w:val="111827"/>
          <w:sz w:val="21"/>
        </w:rPr>
        <w:t>Your salience analysis produced at least one insight the grid did not - if both tools gave you identical conclusions, you applied the grid twice.</w:t>
      </w:r>
    </w:p>
    <w:p>
      <w:pPr>
        <w:pStyle w:val="ListBullet"/>
        <w:spacing w:after="40" w:before="0"/>
      </w:pPr>
      <w:r>
        <w:rPr>
          <w:rFonts w:ascii="Arial" w:hAnsi="Arial"/>
          <w:b w:val="0"/>
          <w:i w:val="0"/>
          <w:color w:val="111827"/>
          <w:sz w:val="21"/>
        </w:rPr>
        <w:t>You identified the admin staff as dependent and stated that the PM's role is advocacy.</w:t>
      </w:r>
    </w:p>
    <w:p>
      <w:pPr>
        <w:pStyle w:val="ListBullet"/>
        <w:spacing w:after="40" w:before="0"/>
      </w:pPr>
      <w:r>
        <w:rPr>
          <w:rFonts w:ascii="Arial" w:hAnsi="Arial"/>
          <w:b w:val="0"/>
          <w:i w:val="0"/>
          <w:color w:val="111827"/>
          <w:sz w:val="21"/>
        </w:rPr>
        <w:t>Every C-to-D gap in the engagement matrix has an action with an owner and a date. Gaps with no action are not a plan.</w:t>
      </w:r>
    </w:p>
    <w:p>
      <w:pPr>
        <w:pStyle w:val="ListBullet"/>
        <w:spacing w:after="40" w:before="0"/>
      </w:pPr>
      <w:r>
        <w:rPr>
          <w:rFonts w:ascii="Arial" w:hAnsi="Arial"/>
          <w:b w:val="0"/>
          <w:i w:val="0"/>
          <w:color w:val="111827"/>
          <w:sz w:val="21"/>
        </w:rPr>
        <w:t>Your M-1 facilitation plan converts the disagreement into a concrete trade-off with a number attached (55 story points / 1.6 sprints), rather than a debate about importance.</w:t>
      </w:r>
    </w:p>
    <w:p>
      <w:pPr>
        <w:pStyle w:val="ListBullet"/>
        <w:spacing w:after="40" w:before="0"/>
      </w:pPr>
      <w:r>
        <w:rPr>
          <w:rFonts w:ascii="Arial" w:hAnsi="Arial"/>
          <w:b w:val="0"/>
          <w:i w:val="0"/>
          <w:color w:val="111827"/>
          <w:sz w:val="21"/>
        </w:rPr>
        <w:t>Your engagement cadence has different frequencies for different stakeholders. If everyone gets a fortnightly email, you have not tailored anything - and People T4 explicitly requires tailored communication.</w:t>
      </w:r>
    </w:p>
    <w:p>
      <w:pPr>
        <w:spacing w:after="120" w:before="320"/>
        <w:jc w:val="center"/>
      </w:pPr>
      <w:r>
        <w:rPr>
          <w:rFonts w:ascii="Arial" w:hAnsi="Arial"/>
          <w:b w:val="0"/>
          <w:i w:val="0"/>
          <w:color w:val="555F6D"/>
          <w:sz w:val="15"/>
        </w:rPr>
        <w:t>Project Management Masterclass · C523 · Version v3.0 · © 2026 Tertiary Infotech Academy Pte Ltd</w:t>
      </w:r>
    </w:p>
    <w:sectPr w:rsidR="00FC693F" w:rsidRPr="0006063C" w:rsidSect="00034616">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118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