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7 — LEARNER WORKSHEET</w:t>
      </w:r>
    </w:p>
    <w:p>
      <w:pPr>
        <w:spacing w:after="40" w:before="0"/>
      </w:pPr>
      <w:r>
        <w:rPr>
          <w:rFonts w:ascii="Arial" w:hAnsi="Arial"/>
          <w:b/>
          <w:i w:val="0"/>
          <w:color w:val="111827"/>
          <w:sz w:val="30"/>
        </w:rPr>
        <w:t>Stakeholder Register, Power/Interest Grid and Salience Model</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90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LO4</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2 - Start the Project</w:t>
            </w:r>
          </w:p>
        </w:tc>
      </w:tr>
    </w:tbl>
    <w:p>
      <w:pPr>
        <w:spacing w:after="40" w:before="0"/>
      </w:pPr>
    </w:p>
    <w:p>
      <w:pPr>
        <w:spacing w:before="280" w:after="100"/>
      </w:pPr>
      <w:r>
        <w:rPr>
          <w:rFonts w:ascii="Arial" w:hAnsi="Arial"/>
          <w:b/>
          <w:color w:val="111827"/>
          <w:sz w:val="26"/>
        </w:rPr>
        <w:t>What you are doing</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after="120" w:before="0"/>
      </w:pPr>
      <w:r>
        <w:rPr>
          <w:rFonts w:ascii="Arial" w:hAnsi="Arial"/>
          <w:b/>
          <w:i w:val="0"/>
          <w:color w:val="111827"/>
          <w:sz w:val="21"/>
        </w:rPr>
        <w:t>What you will produce: stakeholder register, power interest grid, salience model — submitted to artifacts/.</w:t>
      </w:r>
    </w:p>
    <w:p>
      <w:pPr>
        <w:spacing w:before="280" w:after="100"/>
      </w:pPr>
      <w:r>
        <w:rPr>
          <w:rFonts w:ascii="Arial" w:hAnsi="Arial"/>
          <w:b/>
          <w:color w:val="111827"/>
          <w:sz w:val="26"/>
        </w:rPr>
        <w:t>What you need before you start</w:t>
      </w:r>
    </w:p>
    <w:p>
      <w:pPr>
        <w:pStyle w:val="ListBullet"/>
        <w:spacing w:after="40" w:before="0"/>
      </w:pPr>
      <w:r>
        <w:rPr>
          <w:rFonts w:ascii="Arial" w:hAnsi="Arial"/>
          <w:b w:val="0"/>
          <w:i w:val="0"/>
          <w:color w:val="111827"/>
          <w:sz w:val="21"/>
        </w:rPr>
        <w:t>Lab 03 governance bodies</w:t>
      </w:r>
    </w:p>
    <w:p>
      <w:pPr>
        <w:pStyle w:val="ListBullet"/>
        <w:spacing w:after="40" w:before="0"/>
      </w:pPr>
      <w:r>
        <w:rPr>
          <w:rFonts w:ascii="Arial" w:hAnsi="Arial"/>
          <w:b w:val="0"/>
          <w:i w:val="0"/>
          <w:color w:val="111827"/>
          <w:sz w:val="21"/>
        </w:rPr>
        <w:t>Lab 04 compliance owners</w:t>
      </w:r>
    </w:p>
    <w:p>
      <w:pPr>
        <w:pStyle w:val="ListBullet"/>
        <w:spacing w:after="40" w:before="0"/>
      </w:pPr>
      <w:r>
        <w:rPr>
          <w:rFonts w:ascii="Arial" w:hAnsi="Arial"/>
          <w:b w:val="0"/>
          <w:i w:val="0"/>
          <w:color w:val="111827"/>
          <w:sz w:val="21"/>
        </w:rPr>
        <w:t>Lab 06 charter, success criteria and exclusions</w:t>
      </w:r>
    </w:p>
    <w:p>
      <w:pPr>
        <w:spacing w:before="280" w:after="100"/>
      </w:pPr>
      <w:r>
        <w:rPr>
          <w:rFonts w:ascii="Arial" w:hAnsi="Arial"/>
          <w:b/>
          <w:color w:val="111827"/>
          <w:sz w:val="26"/>
        </w:rPr>
        <w:t>Your steps</w:t>
      </w:r>
    </w:p>
    <w:p>
      <w:pPr>
        <w:pStyle w:val="ListNumber"/>
        <w:spacing w:after="60" w:before="0"/>
      </w:pPr>
      <w:r>
        <w:rPr>
          <w:rFonts w:ascii="Arial" w:hAnsi="Arial"/>
          <w:b w:val="0"/>
          <w:i w:val="0"/>
          <w:color w:val="111827"/>
          <w:sz w:val="21"/>
        </w:rPr>
        <w:t>Identify stakeholders. Identification is not a five-minute brainstorm. Work through categories systematically so you catch the ones that get missed.</w:t>
      </w:r>
    </w:p>
    <w:p>
      <w:pPr>
        <w:pStyle w:val="ListNumber"/>
        <w:spacing w:after="60" w:before="0"/>
      </w:pPr>
      <w:r>
        <w:rPr>
          <w:rFonts w:ascii="Arial" w:hAnsi="Arial"/>
          <w:b w:val="0"/>
          <w:i w:val="0"/>
          <w:color w:val="111827"/>
          <w:sz w:val="21"/>
        </w:rPr>
        <w:t>Build the stakeholder register. Create artifacts/07-stakeholder-register.md. Score power and interest 1-5. Attitude uses: Champion, Supporter, Neutral, Resistant, Blocker.</w:t>
      </w:r>
    </w:p>
    <w:p>
      <w:pPr>
        <w:pStyle w:val="ListNumber"/>
        <w:spacing w:after="60" w:before="0"/>
      </w:pPr>
      <w:r>
        <w:rPr>
          <w:rFonts w:ascii="Arial" w:hAnsi="Arial"/>
          <w:b w:val="0"/>
          <w:i w:val="0"/>
          <w:color w:val="111827"/>
          <w:sz w:val="21"/>
        </w:rPr>
        <w:t>Plot the power/interest grid. Create artifacts/07-power-interest-grid.md. Power 4-5 is high; interest 4-5 is high.</w:t>
      </w:r>
    </w:p>
    <w:p>
      <w:pPr>
        <w:pStyle w:val="ListNumber"/>
        <w:spacing w:after="60" w:before="0"/>
      </w:pPr>
      <w:r>
        <w:rPr>
          <w:rFonts w:ascii="Arial" w:hAnsi="Arial"/>
          <w:b w:val="0"/>
          <w:i w:val="0"/>
          <w:color w:val="111827"/>
          <w:sz w:val="21"/>
        </w:rPr>
        <w:t>Apply the salience model where the grid fails. The power/interest grid has a blind spot: it cannot distinguish a stakeholder with a legitimate claim from one who is merely loud, and it has no concept of urgency. The salience model adds those two dimensions.</w:t>
      </w:r>
    </w:p>
    <w:p>
      <w:pPr>
        <w:pStyle w:val="ListNumber"/>
        <w:spacing w:after="60" w:before="0"/>
      </w:pPr>
      <w:r>
        <w:rPr>
          <w:rFonts w:ascii="Arial" w:hAnsi="Arial"/>
          <w:b w:val="0"/>
          <w:i w:val="0"/>
          <w:color w:val="111827"/>
          <w:sz w:val="21"/>
        </w:rPr>
        <w:t>Build the engagement matrix. Create artifacts/07-engagement-matrix.md. Levels: Unaware, Resistant, Neutral, Supportive, Leading. Mark C for current and D for desired.</w:t>
      </w:r>
    </w:p>
    <w:p>
      <w:pPr>
        <w:pStyle w:val="ListNumber"/>
        <w:spacing w:after="60" w:before="0"/>
      </w:pPr>
      <w:r>
        <w:rPr>
          <w:rFonts w:ascii="Arial" w:hAnsi="Arial"/>
          <w:b w:val="0"/>
          <w:i w:val="0"/>
          <w:color w:val="111827"/>
          <w:sz w:val="21"/>
        </w:rPr>
        <w:t>Surface and resolve misaligned expectations. ECO People T5 requires you to "facilitate discussions to align expectations". You cannot align what you have not written down. Three misalignments are already visible in the case.</w:t>
      </w:r>
    </w:p>
    <w:p>
      <w:pPr>
        <w:pStyle w:val="ListNumber"/>
        <w:spacing w:after="60" w:before="0"/>
      </w:pPr>
      <w:r>
        <w:rPr>
          <w:rFonts w:ascii="Arial" w:hAnsi="Arial"/>
          <w:b w:val="0"/>
          <w:i w:val="0"/>
          <w:color w:val="111827"/>
          <w:sz w:val="21"/>
        </w:rPr>
        <w:t>Set the engagement cadence. This table becomes the input to the Lab 18 communication plan, where you will size it against the channels formula.</w:t>
      </w:r>
    </w:p>
    <w:p>
      <w:pPr>
        <w:pStyle w:val="ListNumber"/>
        <w:spacing w:after="60" w:before="0"/>
      </w:pPr>
      <w:r>
        <w:rPr>
          <w:rFonts w:ascii="Arial" w:hAnsi="Arial"/>
          <w:b w:val="0"/>
          <w:i w:val="0"/>
          <w:color w:val="111827"/>
          <w:sz w:val="21"/>
        </w:rPr>
        <w:t>Answer the exam-style scenarios</w:t>
      </w:r>
    </w:p>
    <w:p>
      <w:pPr>
        <w:spacing w:before="280" w:after="100"/>
      </w:pPr>
      <w:r>
        <w:rPr>
          <w:rFonts w:ascii="Arial" w:hAnsi="Arial"/>
          <w:b/>
          <w:color w:val="111827"/>
          <w:sz w:val="26"/>
        </w:rPr>
        <w:t>Your working space</w:t>
      </w:r>
    </w:p>
    <w:p>
      <w:pPr>
        <w:spacing w:after="160" w:before="0"/>
      </w:pPr>
      <w:r>
        <w:rPr>
          <w:rFonts w:ascii="Arial" w:hAnsi="Arial"/>
          <w:b w:val="0"/>
          <w:i/>
          <w:color w:val="555F6D"/>
          <w:sz w:val="21"/>
        </w:rPr>
        <w:t>Complete every field. Keep this worksheet — it is your reference for the rest of the course.</w:t>
      </w:r>
    </w:p>
    <w:p>
      <w:pPr>
        <w:spacing w:after="60" w:before="0"/>
      </w:pPr>
      <w:r>
        <w:rPr>
          <w:rFonts w:ascii="Arial" w:hAnsi="Arial"/>
          <w:b/>
          <w:i w:val="0"/>
          <w:color w:val="111827"/>
          <w:sz w:val="20"/>
        </w:rPr>
        <w:t>Step 1 — Identify stakeholders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2 — Build the stakeholder register</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3 — Plot the power/interest grid</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4 — Apply the salience model where the grid fails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5 — Build the engagement matrix</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6 — Surface and resolve misaligned expectations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7 — Set the engagement cadence</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8 — Answer the exam-style scenarios</w:t>
      </w:r>
    </w:p>
    <w:p>
      <w:pPr>
        <w:spacing w:before="200" w:after="200"/>
        <w:pBdr>
          <w:bottom w:val="single" w:sz="6" w:space="1" w:color="B8C4D0"/>
        </w:pBdr>
      </w:pPr>
    </w:p>
    <w:p>
      <w:pPr>
        <w:spacing w:before="200" w:after="200"/>
        <w:pBdr>
          <w:bottom w:val="single" w:sz="6" w:space="1" w:color="B8C4D0"/>
        </w:pBdr>
      </w:pPr>
    </w:p>
    <w:p>
      <w:pPr>
        <w:spacing w:before="280" w:after="100"/>
      </w:pPr>
      <w:r>
        <w:rPr>
          <w:rFonts w:ascii="Arial" w:hAnsi="Arial"/>
          <w:b/>
          <w:color w:val="111827"/>
          <w:sz w:val="26"/>
        </w:rPr>
        <w:t>Deliverable checklist</w:t>
      </w:r>
    </w:p>
    <w:p>
      <w:pPr>
        <w:pStyle w:val="ListBullet"/>
        <w:spacing w:after="40" w:before="0"/>
      </w:pPr>
      <w:r>
        <w:rPr>
          <w:rFonts w:ascii="Arial" w:hAnsi="Arial"/>
          <w:b w:val="0"/>
          <w:i w:val="0"/>
          <w:color w:val="111827"/>
          <w:sz w:val="21"/>
        </w:rPr>
        <w:t>07-stakeholder-register.md - at least 15 stakeholders with power, interest, attitude, expectation and concern, including at least one regulator, one supplier, one opponent and one affected-but-not-consulted group.</w:t>
      </w:r>
    </w:p>
    <w:p>
      <w:pPr>
        <w:pStyle w:val="ListBullet"/>
        <w:spacing w:after="40" w:before="0"/>
      </w:pPr>
      <w:r>
        <w:rPr>
          <w:rFonts w:ascii="Arial" w:hAnsi="Arial"/>
          <w:b w:val="0"/>
          <w:i w:val="0"/>
          <w:color w:val="111827"/>
          <w:sz w:val="21"/>
        </w:rPr>
        <w:t>07-power-interest-grid.md - the plotted grid with all stakeholders placed and the four quadrant strategies stated.</w:t>
      </w:r>
    </w:p>
    <w:p>
      <w:pPr>
        <w:pStyle w:val="ListBullet"/>
        <w:spacing w:after="40" w:before="0"/>
      </w:pPr>
      <w:r>
        <w:rPr>
          <w:rFonts w:ascii="Arial" w:hAnsi="Arial"/>
          <w:b w:val="0"/>
          <w:i w:val="0"/>
          <w:color w:val="111827"/>
          <w:sz w:val="21"/>
        </w:rPr>
        <w:t>07-salience-model.md - the three attributes assessed for at least 8 stakeholders, with classifications, including at least one dependent and one dangerous.</w:t>
      </w:r>
    </w:p>
    <w:p>
      <w:pPr>
        <w:pStyle w:val="ListBullet"/>
        <w:spacing w:after="40" w:before="0"/>
      </w:pPr>
      <w:r>
        <w:rPr>
          <w:rFonts w:ascii="Arial" w:hAnsi="Arial"/>
          <w:b w:val="0"/>
          <w:i w:val="0"/>
          <w:color w:val="111827"/>
          <w:sz w:val="21"/>
        </w:rPr>
        <w:t>07-engagement-matrix.md - current and desired levels, with a named action, owner and date for every gap.</w:t>
      </w:r>
    </w:p>
    <w:p>
      <w:pPr>
        <w:pStyle w:val="ListBullet"/>
        <w:spacing w:after="40" w:before="0"/>
      </w:pPr>
      <w:r>
        <w:rPr>
          <w:rFonts w:ascii="Arial" w:hAnsi="Arial"/>
          <w:b w:val="0"/>
          <w:i w:val="0"/>
          <w:color w:val="111827"/>
          <w:sz w:val="21"/>
        </w:rPr>
        <w:t>The three misalignments with resolution approaches, and a full facilitation plan for M-1.</w:t>
      </w:r>
    </w:p>
    <w:p>
      <w:pPr>
        <w:pStyle w:val="ListBullet"/>
        <w:spacing w:after="40" w:before="0"/>
      </w:pPr>
      <w:r>
        <w:rPr>
          <w:rFonts w:ascii="Arial" w:hAnsi="Arial"/>
          <w:b w:val="0"/>
          <w:i w:val="0"/>
          <w:color w:val="111827"/>
          <w:sz w:val="21"/>
        </w:rPr>
        <w:t>The engagement cadence table.</w:t>
      </w:r>
    </w:p>
    <w:p>
      <w:pPr>
        <w:pStyle w:val="ListBullet"/>
        <w:spacing w:after="40" w:before="0"/>
      </w:pPr>
      <w:r>
        <w:rPr>
          <w:rFonts w:ascii="Arial" w:hAnsi="Arial"/>
          <w:b w:val="0"/>
          <w:i w:val="0"/>
          <w:color w:val="111827"/>
          <w:sz w:val="21"/>
        </w:rPr>
        <w:t>Written answers to the three scenarios.</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