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8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Team Charter, Ground Rules and Shared 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Team Charter, Ground Rules and Shared Vision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vision is under 30 words and you can trace it to at least two Lab 06 success criteria by number.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 the difference between the project charter (Lab 06) and the team charter, including who issues each.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ground rule has a violation test. If you cannot describe what breaking it looks like, rewrite it or delete it.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definition of done separates "done" from "released", and you can explain why merging the two would stall the team between week 18 and 30 June.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decision table uses at least two different rules and names a specific person as decider for every command-rule row.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architecture row names a decider for the deadlock case, decided before any deadlock exists.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skills matrix identifies at least three single points of failure, each with a named owner and a dated mitigating action.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graduated response starts at "name it in the moment" and states which categories of breach bypass the ladder entirely.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vision is under 30 words and you can trace it to at least two Lab 06 success criteria by number.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