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78"/>
      </w:tblGrid>
      <w:tr>
        <w:tc>
          <w:tcPr>
            <w:tcW w:type="dxa" w:w="9678"/>
            <w:shd w:val="clear" w:fill="1F6FEB"/>
          </w:tcPr>
          <w:p>
            <w:pPr>
              <w:spacing w:after="0" w:before="0"/>
              <w:jc w:val="center"/>
            </w:pPr>
            <w:r/>
            <w:r>
              <w:rPr>
                <w:rFonts w:ascii="Arial" w:hAnsi="Arial"/>
                <w:b/>
                <w:color w:val="FFFFFF"/>
                <w:sz w:val="20"/>
              </w:rPr>
              <w:t>Tertiary Infotech Academy Pte Ltd</w:t>
            </w:r>
          </w:p>
        </w:tc>
      </w:tr>
    </w:tbl>
    <w:p>
      <w:pPr>
        <w:spacing w:after="40" w:before="0"/>
      </w:pPr>
      <w:r>
        <w:rPr>
          <w:rFonts w:ascii="Arial" w:hAnsi="Arial"/>
          <w:b/>
          <w:i w:val="0"/>
          <w:color w:val="1F6FEB"/>
          <w:sz w:val="24"/>
        </w:rPr>
        <w:t>ACTIVITY 8 — FACILITATOR GUIDE</w:t>
      </w:r>
    </w:p>
    <w:p>
      <w:pPr>
        <w:spacing w:after="40" w:before="0"/>
      </w:pPr>
      <w:r>
        <w:rPr>
          <w:rFonts w:ascii="Arial" w:hAnsi="Arial"/>
          <w:b/>
          <w:i w:val="0"/>
          <w:color w:val="111827"/>
          <w:sz w:val="30"/>
        </w:rPr>
        <w:t>Team Charter, Ground Rules and Shared Vision</w:t>
      </w:r>
    </w:p>
    <w:tbl>
      <w:tblPr>
        <w:tblW w:type="auto" w:w="0"/>
        <w:jc w:val="center"/>
        <w:tblLook w:firstColumn="1" w:firstRow="1" w:lastColumn="0" w:lastRow="0" w:noHBand="0" w:noVBand="1" w:val="04A0"/>
      </w:tblPr>
      <w:tblGrid>
        <w:gridCol w:w="2419"/>
        <w:gridCol w:w="2419"/>
        <w:gridCol w:w="2419"/>
        <w:gridCol w:w="2419"/>
      </w:tblGrid>
      <w:tr>
        <w:tc>
          <w:tcPr>
            <w:tcW w:type="dxa" w:w="2419"/>
            <w:shd w:val="clear" w:fill="F5F8FC"/>
          </w:tcPr>
          <w:p>
            <w:pPr>
              <w:spacing w:after="0" w:before="0"/>
            </w:pPr>
            <w:r/>
            <w:r>
              <w:rPr>
                <w:rFonts w:ascii="Arial" w:hAnsi="Arial"/>
                <w:b/>
                <w:color w:val="1F6FEB"/>
                <w:sz w:val="15"/>
              </w:rPr>
              <w:t>TYPE</w:t>
            </w:r>
          </w:p>
          <w:p>
            <w:pPr>
              <w:spacing w:after="0" w:before="0"/>
            </w:pPr>
            <w:r>
              <w:rPr>
                <w:rFonts w:ascii="Arial" w:hAnsi="Arial"/>
                <w:b w:val="0"/>
                <w:color w:val="1F6FEB"/>
                <w:sz w:val="15"/>
              </w:rPr>
              <w:t>Workshop</w:t>
            </w:r>
          </w:p>
        </w:tc>
        <w:tc>
          <w:tcPr>
            <w:tcW w:type="dxa" w:w="2419"/>
            <w:shd w:val="clear" w:fill="F5F8FC"/>
          </w:tcPr>
          <w:p>
            <w:pPr>
              <w:spacing w:after="0" w:before="0"/>
            </w:pPr>
            <w:r/>
            <w:r>
              <w:rPr>
                <w:rFonts w:ascii="Arial" w:hAnsi="Arial"/>
                <w:b/>
                <w:color w:val="1F6FEB"/>
                <w:sz w:val="15"/>
              </w:rPr>
              <w:t>DURATION</w:t>
            </w:r>
          </w:p>
          <w:p>
            <w:pPr>
              <w:spacing w:after="0" w:before="0"/>
            </w:pPr>
            <w:r>
              <w:rPr>
                <w:rFonts w:ascii="Arial" w:hAnsi="Arial"/>
                <w:b w:val="0"/>
                <w:color w:val="1F6FEB"/>
                <w:sz w:val="15"/>
              </w:rPr>
              <w:t>75 minutes</w:t>
            </w:r>
          </w:p>
        </w:tc>
        <w:tc>
          <w:tcPr>
            <w:tcW w:type="dxa" w:w="2419"/>
            <w:shd w:val="clear" w:fill="F5F8FC"/>
          </w:tcPr>
          <w:p>
            <w:pPr>
              <w:spacing w:after="0" w:before="0"/>
            </w:pPr>
            <w:r/>
            <w:r>
              <w:rPr>
                <w:rFonts w:ascii="Arial" w:hAnsi="Arial"/>
                <w:b/>
                <w:color w:val="1F6FEB"/>
                <w:sz w:val="15"/>
              </w:rPr>
              <w:t>MAPS TO</w:t>
            </w:r>
          </w:p>
          <w:p>
            <w:pPr>
              <w:spacing w:after="0" w:before="0"/>
            </w:pPr>
            <w:r>
              <w:rPr>
                <w:rFonts w:ascii="Arial" w:hAnsi="Arial"/>
                <w:b w:val="0"/>
                <w:color w:val="1F6FEB"/>
                <w:sz w:val="15"/>
              </w:rPr>
              <w:t>LO2</w:t>
            </w:r>
          </w:p>
        </w:tc>
        <w:tc>
          <w:tcPr>
            <w:tcW w:type="dxa" w:w="2419"/>
            <w:shd w:val="clear" w:fill="F5F8FC"/>
          </w:tcPr>
          <w:p>
            <w:pPr>
              <w:spacing w:after="0" w:before="0"/>
            </w:pPr>
            <w:r/>
            <w:r>
              <w:rPr>
                <w:rFonts w:ascii="Arial" w:hAnsi="Arial"/>
                <w:b/>
                <w:color w:val="1F6FEB"/>
                <w:sz w:val="15"/>
              </w:rPr>
              <w:t>TOPIC</w:t>
            </w:r>
          </w:p>
          <w:p>
            <w:pPr>
              <w:spacing w:after="0" w:before="0"/>
            </w:pPr>
            <w:r>
              <w:rPr>
                <w:rFonts w:ascii="Arial" w:hAnsi="Arial"/>
                <w:b w:val="0"/>
                <w:color w:val="1F6FEB"/>
                <w:sz w:val="15"/>
              </w:rPr>
              <w:t>2 - Start the Project</w:t>
            </w:r>
          </w:p>
        </w:tc>
      </w:tr>
    </w:tbl>
    <w:p>
      <w:pPr>
        <w:spacing w:after="40" w:before="0"/>
      </w:pPr>
    </w:p>
    <w:p>
      <w:pPr>
        <w:spacing w:before="280" w:after="100"/>
      </w:pPr>
      <w:r>
        <w:rPr>
          <w:rFonts w:ascii="Arial" w:hAnsi="Arial"/>
          <w:b/>
          <w:color w:val="111827"/>
          <w:sz w:val="26"/>
        </w:rPr>
        <w:t>Purpose of this activity</w:t>
      </w:r>
    </w:p>
    <w:p>
      <w:pPr>
        <w:spacing w:after="120" w:before="0"/>
      </w:pPr>
      <w:r>
        <w:rPr>
          <w:rFonts w:ascii="Arial" w:hAnsi="Arial"/>
          <w:b w:val="0"/>
          <w:i w:val="0"/>
          <w:color w:val="111827"/>
          <w:sz w:val="21"/>
        </w:rPr>
        <w:t>By the end of this activity learners will be able to write a shared project vision that the team can recall without reading it, and test it against explicit criteria.</w:t>
      </w:r>
    </w:p>
    <w:p>
      <w:pPr>
        <w:spacing w:before="280" w:after="100"/>
      </w:pPr>
      <w:r>
        <w:rPr>
          <w:rFonts w:ascii="Arial" w:hAnsi="Arial"/>
          <w:b/>
          <w:color w:val="111827"/>
          <w:sz w:val="26"/>
        </w:rPr>
        <w:t>What learners produce</w:t>
      </w:r>
    </w:p>
    <w:p>
      <w:pPr>
        <w:spacing w:after="120" w:before="0"/>
      </w:pPr>
      <w:r>
        <w:rPr>
          <w:rFonts w:ascii="Arial" w:hAnsi="Arial"/>
          <w:b w:val="0"/>
          <w:i w:val="0"/>
          <w:color w:val="111827"/>
          <w:sz w:val="21"/>
        </w:rPr>
        <w:t>team charter, ground rules, vision statement — submitted to artifacts/.</w:t>
      </w:r>
    </w:p>
    <w:p>
      <w:pPr>
        <w:spacing w:before="280" w:after="100"/>
      </w:pPr>
      <w:r>
        <w:rPr>
          <w:rFonts w:ascii="Arial" w:hAnsi="Arial"/>
          <w:b/>
          <w:color w:val="111827"/>
          <w:sz w:val="26"/>
        </w:rPr>
        <w:t>Materials required</w:t>
      </w:r>
    </w:p>
    <w:p>
      <w:pPr>
        <w:pStyle w:val="ListBullet"/>
        <w:spacing w:after="40" w:before="0"/>
      </w:pPr>
      <w:r>
        <w:rPr>
          <w:rFonts w:ascii="Arial" w:hAnsi="Arial"/>
          <w:b w:val="0"/>
          <w:i w:val="0"/>
          <w:color w:val="111827"/>
          <w:sz w:val="21"/>
        </w:rPr>
        <w:t>Learner Worksheet (one per learner)</w:t>
      </w:r>
    </w:p>
    <w:p>
      <w:pPr>
        <w:pStyle w:val="ListBullet"/>
        <w:spacing w:after="40" w:before="0"/>
      </w:pPr>
      <w:r>
        <w:rPr>
          <w:rFonts w:ascii="Arial" w:hAnsi="Arial"/>
          <w:b w:val="0"/>
          <w:i w:val="0"/>
          <w:color w:val="111827"/>
          <w:sz w:val="21"/>
        </w:rPr>
        <w:t>Checklist (one per group)</w:t>
      </w:r>
    </w:p>
    <w:p>
      <w:pPr>
        <w:pStyle w:val="ListBullet"/>
        <w:spacing w:after="40" w:before="0"/>
      </w:pPr>
      <w:r>
        <w:rPr>
          <w:rFonts w:ascii="Arial" w:hAnsi="Arial"/>
          <w:b w:val="0"/>
          <w:i w:val="0"/>
          <w:color w:val="111827"/>
          <w:sz w:val="21"/>
        </w:rPr>
        <w:t>The Project Management Templates pack (see the Activities folder)</w:t>
      </w:r>
    </w:p>
    <w:p>
      <w:pPr>
        <w:pStyle w:val="ListBullet"/>
        <w:spacing w:after="40" w:before="0"/>
      </w:pPr>
      <w:r>
        <w:rPr>
          <w:rFonts w:ascii="Arial" w:hAnsi="Arial"/>
          <w:b w:val="0"/>
          <w:i w:val="0"/>
          <w:color w:val="111827"/>
          <w:sz w:val="21"/>
        </w:rPr>
        <w:t>The course slides for the framework and worked example</w:t>
      </w:r>
    </w:p>
    <w:p>
      <w:pPr>
        <w:spacing w:before="280" w:after="100"/>
      </w:pPr>
      <w:r>
        <w:rPr>
          <w:rFonts w:ascii="Arial" w:hAnsi="Arial"/>
          <w:b/>
          <w:color w:val="111827"/>
          <w:sz w:val="26"/>
        </w:rPr>
        <w:t>Set-up</w:t>
      </w:r>
    </w:p>
    <w:p>
      <w:pPr>
        <w:spacing w:after="120" w:before="0"/>
      </w:pPr>
      <w:r>
        <w:rPr>
          <w:rFonts w:ascii="Arial" w:hAnsi="Arial"/>
          <w:b w:val="0"/>
          <w:i w:val="0"/>
          <w:color w:val="111827"/>
          <w:sz w:val="21"/>
        </w:rPr>
        <w:t>Groups of 3 so every role is played. Distribute one worksheet per learner and one checklist per group.</w:t>
      </w:r>
    </w:p>
    <w:p>
      <w:pPr>
        <w:spacing w:before="280" w:after="100"/>
      </w:pPr>
      <w:r>
        <w:rPr>
          <w:rFonts w:ascii="Arial" w:hAnsi="Arial"/>
          <w:b/>
          <w:color w:val="111827"/>
          <w:sz w:val="26"/>
        </w:rPr>
        <w:t>Scenario / briefing material</w:t>
      </w:r>
    </w:p>
    <w:p>
      <w:pPr>
        <w:spacing w:after="120" w:before="0"/>
      </w:pPr>
      <w:r>
        <w:rPr>
          <w:rFonts w:ascii="Arial" w:hAnsi="Arial"/>
          <w:b w:val="0"/>
          <w:i w:val="0"/>
          <w:color w:val="111827"/>
          <w:sz w:val="21"/>
        </w:rPr>
        <w:t>Contoso Learning Pte Ltd is a training provider with 14,000 active learners. Its course registration portal is 9 years old. Registration takes a median of 11 minutes and 34% of attempts are abandoned. Learner communications consume 24 staff-hours per week across 3 administrators. 62% of learner traffic is mobile, against a portal that is not responsive. Legacy consent screens do not meet current PDPA requirements. The project modernises course registration and learner communications.</w:t>
      </w:r>
    </w:p>
    <w:p>
      <w:pPr>
        <w:spacing w:before="280" w:after="100"/>
      </w:pPr>
      <w:r>
        <w:rPr>
          <w:rFonts w:ascii="Arial" w:hAnsi="Arial"/>
          <w:b/>
          <w:color w:val="111827"/>
          <w:sz w:val="26"/>
        </w:rPr>
        <w:t>How to run it — step by step</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76"/>
        <w:gridCol w:w="4752"/>
        <w:gridCol w:w="3888"/>
      </w:tblGrid>
      <w:tr>
        <w:tc>
          <w:tcPr>
            <w:tcW w:type="dxa" w:w="3226"/>
            <w:shd w:val="clear" w:fill="1F6FEB"/>
          </w:tcPr>
          <w:p>
            <w:pPr>
              <w:spacing w:after="0" w:before="0"/>
            </w:pPr>
            <w:r/>
            <w:r>
              <w:rPr>
                <w:rFonts w:ascii="Arial" w:hAnsi="Arial"/>
                <w:b/>
                <w:color w:val="FFFFFF"/>
                <w:sz w:val="18"/>
              </w:rPr>
              <w:t>#</w:t>
            </w:r>
          </w:p>
        </w:tc>
        <w:tc>
          <w:tcPr>
            <w:tcW w:type="dxa" w:w="3226"/>
            <w:shd w:val="clear" w:fill="1F6FEB"/>
          </w:tcPr>
          <w:p>
            <w:pPr>
              <w:spacing w:after="0" w:before="0"/>
            </w:pPr>
            <w:r/>
            <w:r>
              <w:rPr>
                <w:rFonts w:ascii="Arial" w:hAnsi="Arial"/>
                <w:b/>
                <w:color w:val="FFFFFF"/>
                <w:sz w:val="18"/>
              </w:rPr>
              <w:t>Instruction to learners</w:t>
            </w:r>
          </w:p>
        </w:tc>
        <w:tc>
          <w:tcPr>
            <w:tcW w:type="dxa" w:w="3226"/>
            <w:shd w:val="clear" w:fill="1F6FEB"/>
          </w:tcPr>
          <w:p>
            <w:pPr>
              <w:spacing w:after="0" w:before="0"/>
            </w:pPr>
            <w:r/>
            <w:r>
              <w:rPr>
                <w:rFonts w:ascii="Arial" w:hAnsi="Arial"/>
                <w:b/>
                <w:color w:val="FFFFFF"/>
                <w:sz w:val="18"/>
              </w:rPr>
              <w:t>Facilitator note</w:t>
            </w:r>
          </w:p>
        </w:tc>
      </w:tr>
      <w:tr>
        <w:tc>
          <w:tcPr>
            <w:tcW w:type="dxa" w:w="576"/>
          </w:tcPr>
          <w:p>
            <w:pPr>
              <w:spacing w:after="0" w:before="0"/>
            </w:pPr>
            <w:r/>
            <w:r>
              <w:rPr>
                <w:rFonts w:ascii="Arial" w:hAnsi="Arial"/>
                <w:b/>
                <w:color w:val="1F6FEB"/>
                <w:sz w:val="18"/>
              </w:rPr>
              <w:t>1</w:t>
            </w:r>
          </w:p>
        </w:tc>
        <w:tc>
          <w:tcPr>
            <w:tcW w:type="dxa" w:w="4752"/>
          </w:tcPr>
          <w:p>
            <w:pPr>
              <w:spacing w:after="0" w:before="0"/>
            </w:pPr>
            <w:r/>
            <w:r>
              <w:rPr>
                <w:rFonts w:ascii="Arial" w:hAnsi="Arial"/>
                <w:b w:val="0"/>
                <w:color w:val="111827"/>
                <w:sz w:val="18"/>
              </w:rPr>
              <w:t>Draft the shared vision statement. Create artifacts/08-vision-statement.md. The ECO People T1 enablers are "examine the vision and mission", "establish a shared vision" and "support and maintain the vision". You start with the charter's purpose (Lab 06 Step 2) and the success criteria (Lab 06 Step 3), and compress them into something a developer can repeat in a corridor.</w:t>
            </w:r>
          </w:p>
        </w:tc>
        <w:tc>
          <w:tcPr>
            <w:tcW w:type="dxa" w:w="3888"/>
          </w:tcPr>
          <w:p>
            <w:pPr>
              <w:spacing w:after="0" w:before="0"/>
            </w:pPr>
            <w:r/>
            <w:r>
              <w:rPr>
                <w:rFonts w:ascii="Arial" w:hAnsi="Arial"/>
                <w:b w:val="0"/>
                <w:color w:val="555F6D"/>
                <w:sz w:val="18"/>
              </w:rPr>
              <w:t>The trace is the learning, not the artifact. Ask a group to walk one line end to end aloud.</w:t>
            </w:r>
          </w:p>
        </w:tc>
      </w:tr>
      <w:tr>
        <w:tc>
          <w:tcPr>
            <w:tcW w:type="dxa" w:w="576"/>
          </w:tcPr>
          <w:p>
            <w:pPr>
              <w:spacing w:after="0" w:before="0"/>
            </w:pPr>
            <w:r/>
            <w:r>
              <w:rPr>
                <w:rFonts w:ascii="Arial" w:hAnsi="Arial"/>
                <w:b/>
                <w:color w:val="1F6FEB"/>
                <w:sz w:val="18"/>
              </w:rPr>
              <w:t>2</w:t>
            </w:r>
          </w:p>
        </w:tc>
        <w:tc>
          <w:tcPr>
            <w:tcW w:type="dxa" w:w="4752"/>
          </w:tcPr>
          <w:p>
            <w:pPr>
              <w:spacing w:after="0" w:before="0"/>
            </w:pPr>
            <w:r/>
            <w:r>
              <w:rPr>
                <w:rFonts w:ascii="Arial" w:hAnsi="Arial"/>
                <w:b w:val="0"/>
                <w:color w:val="111827"/>
                <w:sz w:val="18"/>
              </w:rPr>
              <w:t>Name the team. Create artifacts/08-team-charter.md. The Lab 06 constraint CON-4 fixes the team at 9 people with no additional headcount, so this list is complete and permanent. Capacity is stated in story points per 2-week sprint and totals the Lab 06 figure of approximately 34.</w:t>
            </w:r>
          </w:p>
        </w:tc>
        <w:tc>
          <w:tcPr>
            <w:tcW w:type="dxa" w:w="3888"/>
          </w:tcPr>
          <w:p>
            <w:pPr>
              <w:spacing w:after="0" w:before="0"/>
            </w:pPr>
            <w:r/>
            <w:r>
              <w:rPr>
                <w:rFonts w:ascii="Arial" w:hAnsi="Arial"/>
                <w:b w:val="0"/>
                <w:color w:val="555F6D"/>
                <w:sz w:val="18"/>
              </w:rPr>
              <w:t>Make a group state the UNITS and the base date. Most errors here are unit errors, not maths errors.</w:t>
            </w:r>
          </w:p>
        </w:tc>
      </w:tr>
      <w:tr>
        <w:tc>
          <w:tcPr>
            <w:tcW w:type="dxa" w:w="576"/>
          </w:tcPr>
          <w:p>
            <w:pPr>
              <w:spacing w:after="0" w:before="0"/>
            </w:pPr>
            <w:r/>
            <w:r>
              <w:rPr>
                <w:rFonts w:ascii="Arial" w:hAnsi="Arial"/>
                <w:b/>
                <w:color w:val="1F6FEB"/>
                <w:sz w:val="18"/>
              </w:rPr>
              <w:t>3</w:t>
            </w:r>
          </w:p>
        </w:tc>
        <w:tc>
          <w:tcPr>
            <w:tcW w:type="dxa" w:w="4752"/>
          </w:tcPr>
          <w:p>
            <w:pPr>
              <w:spacing w:after="0" w:before="0"/>
            </w:pPr>
            <w:r/>
            <w:r>
              <w:rPr>
                <w:rFonts w:ascii="Arial" w:hAnsi="Arial"/>
                <w:b w:val="0"/>
                <w:color w:val="111827"/>
                <w:sz w:val="18"/>
              </w:rPr>
              <w:t>Write the working agreement on time and availability. The team is not co-located: Daniel Ofori works from Accra (GMT), everyone else is in Singapore (GMT+8). That is an 8-hour offset with only a narrow natural overlap, so core hours must be explicit or they will be discovered by accident.</w:t>
            </w:r>
          </w:p>
        </w:tc>
        <w:tc>
          <w:tcPr>
            <w:tcW w:type="dxa" w:w="3888"/>
          </w:tcPr>
          <w:p>
            <w:pPr>
              <w:spacing w:after="0" w:before="0"/>
            </w:pPr>
            <w:r/>
            <w:r>
              <w:rPr>
                <w:rFonts w:ascii="Arial" w:hAnsi="Arial"/>
                <w:b w:val="0"/>
                <w:color w:val="555F6D"/>
                <w:sz w:val="18"/>
              </w:rPr>
              <w:t>Have one group present a single row rather than the whole artifact — depth over coverage.</w:t>
            </w:r>
          </w:p>
        </w:tc>
      </w:tr>
      <w:tr>
        <w:tc>
          <w:tcPr>
            <w:tcW w:type="dxa" w:w="576"/>
          </w:tcPr>
          <w:p>
            <w:pPr>
              <w:spacing w:after="0" w:before="0"/>
            </w:pPr>
            <w:r/>
            <w:r>
              <w:rPr>
                <w:rFonts w:ascii="Arial" w:hAnsi="Arial"/>
                <w:b/>
                <w:color w:val="1F6FEB"/>
                <w:sz w:val="18"/>
              </w:rPr>
              <w:t>4</w:t>
            </w:r>
          </w:p>
        </w:tc>
        <w:tc>
          <w:tcPr>
            <w:tcW w:type="dxa" w:w="4752"/>
          </w:tcPr>
          <w:p>
            <w:pPr>
              <w:spacing w:after="0" w:before="0"/>
            </w:pPr>
            <w:r/>
            <w:r>
              <w:rPr>
                <w:rFonts w:ascii="Arial" w:hAnsi="Arial"/>
                <w:b w:val="0"/>
                <w:color w:val="111827"/>
                <w:sz w:val="18"/>
              </w:rPr>
              <w:t>Set ground rules across six categories. Create artifacts/08-ground-rules.md. Every rule must be observable. "Be respectful" is not a ground rule; "no interrupting - use the raise-hand" is.</w:t>
            </w:r>
          </w:p>
        </w:tc>
        <w:tc>
          <w:tcPr>
            <w:tcW w:type="dxa" w:w="3888"/>
          </w:tcPr>
          <w:p>
            <w:pPr>
              <w:spacing w:after="0" w:before="0"/>
            </w:pPr>
            <w:r/>
            <w:r>
              <w:rPr>
                <w:rFonts w:ascii="Arial" w:hAnsi="Arial"/>
                <w:b w:val="0"/>
                <w:color w:val="555F6D"/>
                <w:sz w:val="18"/>
              </w:rPr>
              <w:t>Keep role-holders in role; learners drift to consensus. Push for the concern behind the stated position.</w:t>
            </w:r>
          </w:p>
        </w:tc>
      </w:tr>
      <w:tr>
        <w:tc>
          <w:tcPr>
            <w:tcW w:type="dxa" w:w="576"/>
          </w:tcPr>
          <w:p>
            <w:pPr>
              <w:spacing w:after="0" w:before="0"/>
            </w:pPr>
            <w:r/>
            <w:r>
              <w:rPr>
                <w:rFonts w:ascii="Arial" w:hAnsi="Arial"/>
                <w:b/>
                <w:color w:val="1F6FEB"/>
                <w:sz w:val="18"/>
              </w:rPr>
              <w:t>5</w:t>
            </w:r>
          </w:p>
        </w:tc>
        <w:tc>
          <w:tcPr>
            <w:tcW w:type="dxa" w:w="4752"/>
          </w:tcPr>
          <w:p>
            <w:pPr>
              <w:spacing w:after="0" w:before="0"/>
            </w:pPr>
            <w:r/>
            <w:r>
              <w:rPr>
                <w:rFonts w:ascii="Arial" w:hAnsi="Arial"/>
                <w:b w:val="0"/>
                <w:color w:val="111827"/>
                <w:sz w:val="18"/>
              </w:rPr>
              <w:t>Agree the definition of done. The Lab 16 storming narrative is caused by a definition of done that was never agreed. Agree it now, with the QA lead (T-6 Kenneth Lau) in the room, not after the fact.</w:t>
            </w:r>
          </w:p>
        </w:tc>
        <w:tc>
          <w:tcPr>
            <w:tcW w:type="dxa" w:w="3888"/>
          </w:tcPr>
          <w:p>
            <w:pPr>
              <w:spacing w:after="0" w:before="0"/>
            </w:pPr>
            <w:r/>
            <w:r>
              <w:rPr>
                <w:rFonts w:ascii="Arial" w:hAnsi="Arial"/>
                <w:b w:val="0"/>
                <w:color w:val="555F6D"/>
                <w:sz w:val="18"/>
              </w:rPr>
              <w:t>Make a group state the UNITS and the base date. Most errors here are unit errors, not maths errors.</w:t>
            </w:r>
          </w:p>
        </w:tc>
      </w:tr>
      <w:tr>
        <w:tc>
          <w:tcPr>
            <w:tcW w:type="dxa" w:w="576"/>
          </w:tcPr>
          <w:p>
            <w:pPr>
              <w:spacing w:after="0" w:before="0"/>
            </w:pPr>
            <w:r/>
            <w:r>
              <w:rPr>
                <w:rFonts w:ascii="Arial" w:hAnsi="Arial"/>
                <w:b/>
                <w:color w:val="1F6FEB"/>
                <w:sz w:val="18"/>
              </w:rPr>
              <w:t>6</w:t>
            </w:r>
          </w:p>
        </w:tc>
        <w:tc>
          <w:tcPr>
            <w:tcW w:type="dxa" w:w="4752"/>
          </w:tcPr>
          <w:p>
            <w:pPr>
              <w:spacing w:after="0" w:before="0"/>
            </w:pPr>
            <w:r/>
            <w:r>
              <w:rPr>
                <w:rFonts w:ascii="Arial" w:hAnsi="Arial"/>
                <w:b w:val="0"/>
                <w:color w:val="111827"/>
                <w:sz w:val="18"/>
              </w:rPr>
              <w:t>Choose the decision-making rule for each decision class. Three rules, three legitimate uses. The error is using one rule for everything - consensus on everything is paralysis, command on everything destroys ownership.</w:t>
            </w:r>
          </w:p>
        </w:tc>
        <w:tc>
          <w:tcPr>
            <w:tcW w:type="dxa" w:w="3888"/>
          </w:tcPr>
          <w:p>
            <w:pPr>
              <w:spacing w:after="0" w:before="0"/>
            </w:pPr>
            <w:r/>
            <w:r>
              <w:rPr>
                <w:rFonts w:ascii="Arial" w:hAnsi="Arial"/>
                <w:b w:val="0"/>
                <w:color w:val="555F6D"/>
                <w:sz w:val="18"/>
              </w:rPr>
              <w:t>Ask what the number would have to be before the decision flips. That is the exam's favourite question.</w:t>
            </w:r>
          </w:p>
        </w:tc>
      </w:tr>
      <w:tr>
        <w:tc>
          <w:tcPr>
            <w:tcW w:type="dxa" w:w="576"/>
          </w:tcPr>
          <w:p>
            <w:pPr>
              <w:spacing w:after="0" w:before="0"/>
            </w:pPr>
            <w:r/>
            <w:r>
              <w:rPr>
                <w:rFonts w:ascii="Arial" w:hAnsi="Arial"/>
                <w:b/>
                <w:color w:val="1F6FEB"/>
                <w:sz w:val="18"/>
              </w:rPr>
              <w:t>7</w:t>
            </w:r>
          </w:p>
        </w:tc>
        <w:tc>
          <w:tcPr>
            <w:tcW w:type="dxa" w:w="4752"/>
          </w:tcPr>
          <w:p>
            <w:pPr>
              <w:spacing w:after="0" w:before="0"/>
            </w:pPr>
            <w:r/>
            <w:r>
              <w:rPr>
                <w:rFonts w:ascii="Arial" w:hAnsi="Arial"/>
                <w:b w:val="0"/>
                <w:color w:val="111827"/>
                <w:sz w:val="18"/>
              </w:rPr>
              <w:t>Build the skills and capacity matrix. Rate 1 (no capability) to 5 (can lead and teach). This exposes single points of failure while there is still time to do something about them.</w:t>
            </w:r>
          </w:p>
        </w:tc>
        <w:tc>
          <w:tcPr>
            <w:tcW w:type="dxa" w:w="3888"/>
          </w:tcPr>
          <w:p>
            <w:pPr>
              <w:spacing w:after="0" w:before="0"/>
            </w:pPr>
            <w:r/>
            <w:r>
              <w:rPr>
                <w:rFonts w:ascii="Arial" w:hAnsi="Arial"/>
                <w:b w:val="0"/>
                <w:color w:val="555F6D"/>
                <w:sz w:val="18"/>
              </w:rPr>
              <w:t>Check the arithmetic on one group's numbers before moving on — a wrong sign propagates into every later step.</w:t>
            </w:r>
          </w:p>
        </w:tc>
      </w:tr>
      <w:tr>
        <w:tc>
          <w:tcPr>
            <w:tcW w:type="dxa" w:w="576"/>
          </w:tcPr>
          <w:p>
            <w:pPr>
              <w:spacing w:after="0" w:before="0"/>
            </w:pPr>
            <w:r/>
            <w:r>
              <w:rPr>
                <w:rFonts w:ascii="Arial" w:hAnsi="Arial"/>
                <w:b/>
                <w:color w:val="1F6FEB"/>
                <w:sz w:val="18"/>
              </w:rPr>
              <w:t>8</w:t>
            </w:r>
          </w:p>
        </w:tc>
        <w:tc>
          <w:tcPr>
            <w:tcW w:type="dxa" w:w="4752"/>
          </w:tcPr>
          <w:p>
            <w:pPr>
              <w:spacing w:after="0" w:before="0"/>
            </w:pPr>
            <w:r/>
            <w:r>
              <w:rPr>
                <w:rFonts w:ascii="Arial" w:hAnsi="Arial"/>
                <w:b w:val="0"/>
                <w:color w:val="111827"/>
                <w:sz w:val="18"/>
              </w:rPr>
              <w:t>Design the graduated response to ground-rule violations. ECO People T2 carries the enabler "manage and rectify ground rule violations". A response designed after the first violation looks like a punishment aimed at a person. A response designed in week 1 looks like a process.</w:t>
            </w:r>
          </w:p>
        </w:tc>
        <w:tc>
          <w:tcPr>
            <w:tcW w:type="dxa" w:w="3888"/>
          </w:tcPr>
          <w:p>
            <w:pPr>
              <w:spacing w:after="0" w:before="0"/>
            </w:pPr>
            <w:r/>
            <w:r>
              <w:rPr>
                <w:rFonts w:ascii="Arial" w:hAnsi="Arial"/>
                <w:b w:val="0"/>
                <w:color w:val="555F6D"/>
                <w:sz w:val="18"/>
              </w:rPr>
              <w:t>Name the assumption behind the entry. Unstated assumptions are what the exam punishes.</w:t>
            </w:r>
          </w:p>
        </w:tc>
      </w:tr>
      <w:tr>
        <w:tc>
          <w:tcPr>
            <w:tcW w:type="dxa" w:w="576"/>
          </w:tcPr>
          <w:p>
            <w:pPr>
              <w:spacing w:after="0" w:before="0"/>
            </w:pPr>
            <w:r/>
            <w:r>
              <w:rPr>
                <w:rFonts w:ascii="Arial" w:hAnsi="Arial"/>
                <w:b/>
                <w:color w:val="1F6FEB"/>
                <w:sz w:val="18"/>
              </w:rPr>
              <w:t>9</w:t>
            </w:r>
          </w:p>
        </w:tc>
        <w:tc>
          <w:tcPr>
            <w:tcW w:type="dxa" w:w="4752"/>
          </w:tcPr>
          <w:p>
            <w:pPr>
              <w:spacing w:after="0" w:before="0"/>
            </w:pPr>
            <w:r/>
            <w:r>
              <w:rPr>
                <w:rFonts w:ascii="Arial" w:hAnsi="Arial"/>
                <w:b w:val="0"/>
                <w:color w:val="111827"/>
                <w:sz w:val="18"/>
              </w:rPr>
              <w:t>Forward-reference the RACI and set the vision review cadence. The team charter says who is on the team and how they work. It does not say who is accountable for each deliverable - that is the RACI, built in Lab 15. Record the placeholder now so the two documents stay linked:</w:t>
            </w:r>
          </w:p>
        </w:tc>
        <w:tc>
          <w:tcPr>
            <w:tcW w:type="dxa" w:w="3888"/>
          </w:tcPr>
          <w:p>
            <w:pPr>
              <w:spacing w:after="0" w:before="0"/>
            </w:pPr>
            <w:r/>
            <w:r>
              <w:rPr>
                <w:rFonts w:ascii="Arial" w:hAnsi="Arial"/>
                <w:b w:val="0"/>
                <w:color w:val="555F6D"/>
                <w:sz w:val="18"/>
              </w:rPr>
              <w:t>Debrief on what was conceded and why — the trade, not the outcome, is the learning.</w:t>
            </w:r>
          </w:p>
        </w:tc>
      </w:tr>
      <w:tr>
        <w:tc>
          <w:tcPr>
            <w:tcW w:type="dxa" w:w="576"/>
          </w:tcPr>
          <w:p>
            <w:pPr>
              <w:spacing w:after="0" w:before="0"/>
            </w:pPr>
            <w:r/>
            <w:r>
              <w:rPr>
                <w:rFonts w:ascii="Arial" w:hAnsi="Arial"/>
                <w:b/>
                <w:color w:val="1F6FEB"/>
                <w:sz w:val="18"/>
              </w:rPr>
              <w:t>10</w:t>
            </w:r>
          </w:p>
        </w:tc>
        <w:tc>
          <w:tcPr>
            <w:tcW w:type="dxa" w:w="4752"/>
          </w:tcPr>
          <w:p>
            <w:pPr>
              <w:spacing w:after="0" w:before="0"/>
            </w:pPr>
            <w:r/>
            <w:r>
              <w:rPr>
                <w:rFonts w:ascii="Arial" w:hAnsi="Arial"/>
                <w:b w:val="0"/>
                <w:color w:val="111827"/>
                <w:sz w:val="18"/>
              </w:rPr>
              <w:t>Answer the exam-style scenarios</w:t>
            </w:r>
          </w:p>
        </w:tc>
        <w:tc>
          <w:tcPr>
            <w:tcW w:type="dxa" w:w="3888"/>
          </w:tcPr>
          <w:p>
            <w:pPr>
              <w:spacing w:after="0" w:before="0"/>
            </w:pPr>
            <w:r/>
            <w:r>
              <w:rPr>
                <w:rFonts w:ascii="Arial" w:hAnsi="Arial"/>
                <w:b w:val="0"/>
                <w:color w:val="555F6D"/>
                <w:sz w:val="18"/>
              </w:rPr>
              <w:t>Keep role-holders in role; learners drift to consensus. Push for the concern behind the stated position.</w:t>
            </w:r>
          </w:p>
        </w:tc>
      </w:tr>
    </w:tbl>
    <w:p>
      <w:pPr>
        <w:spacing w:before="280" w:after="100"/>
      </w:pPr>
      <w:r>
        <w:rPr>
          <w:rFonts w:ascii="Arial" w:hAnsi="Arial"/>
          <w:b/>
          <w:color w:val="111827"/>
          <w:sz w:val="26"/>
        </w:rPr>
        <w:t>Suggested timing</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296"/>
        <w:gridCol w:w="7776"/>
      </w:tblGrid>
      <w:tr>
        <w:tc>
          <w:tcPr>
            <w:tcW w:type="dxa" w:w="4839"/>
            <w:shd w:val="clear" w:fill="1F6FEB"/>
          </w:tcPr>
          <w:p>
            <w:pPr>
              <w:spacing w:after="0" w:before="0"/>
            </w:pPr>
            <w:r/>
            <w:r>
              <w:rPr>
                <w:rFonts w:ascii="Arial" w:hAnsi="Arial"/>
                <w:b/>
                <w:color w:val="FFFFFF"/>
                <w:sz w:val="18"/>
              </w:rPr>
              <w:t>Minutes</w:t>
            </w:r>
          </w:p>
        </w:tc>
        <w:tc>
          <w:tcPr>
            <w:tcW w:type="dxa" w:w="4839"/>
            <w:shd w:val="clear" w:fill="1F6FEB"/>
          </w:tcPr>
          <w:p>
            <w:pPr>
              <w:spacing w:after="0" w:before="0"/>
            </w:pPr>
            <w:r/>
            <w:r>
              <w:rPr>
                <w:rFonts w:ascii="Arial" w:hAnsi="Arial"/>
                <w:b/>
                <w:color w:val="FFFFFF"/>
                <w:sz w:val="18"/>
              </w:rPr>
              <w:t>Phase</w:t>
            </w:r>
          </w:p>
        </w:tc>
      </w:tr>
      <w:tr>
        <w:tc>
          <w:tcPr>
            <w:tcW w:type="dxa" w:w="1296"/>
          </w:tcPr>
          <w:p>
            <w:pPr>
              <w:spacing w:after="0" w:before="0"/>
            </w:pPr>
            <w:r/>
            <w:r>
              <w:rPr>
                <w:rFonts w:ascii="Arial" w:hAnsi="Arial"/>
                <w:b/>
                <w:color w:val="1F6FEB"/>
                <w:sz w:val="18"/>
              </w:rPr>
              <w:t>8 min</w:t>
            </w:r>
          </w:p>
        </w:tc>
        <w:tc>
          <w:tcPr>
            <w:tcW w:type="dxa" w:w="7776"/>
          </w:tcPr>
          <w:p>
            <w:pPr>
              <w:spacing w:after="0" w:before="0"/>
            </w:pPr>
            <w:r/>
            <w:r>
              <w:rPr>
                <w:rFonts w:ascii="Arial" w:hAnsi="Arial"/>
                <w:b w:val="0"/>
                <w:color w:val="111827"/>
                <w:sz w:val="18"/>
              </w:rPr>
              <w:t>Brief the scenario, confirm the inputs and assign roles</w:t>
            </w:r>
          </w:p>
        </w:tc>
      </w:tr>
      <w:tr>
        <w:tc>
          <w:tcPr>
            <w:tcW w:type="dxa" w:w="1296"/>
          </w:tcPr>
          <w:p>
            <w:pPr>
              <w:spacing w:after="0" w:before="0"/>
            </w:pPr>
            <w:r/>
            <w:r>
              <w:rPr>
                <w:rFonts w:ascii="Arial" w:hAnsi="Arial"/>
                <w:b/>
                <w:color w:val="1F6FEB"/>
                <w:sz w:val="18"/>
              </w:rPr>
              <w:t>28 min</w:t>
            </w:r>
          </w:p>
        </w:tc>
        <w:tc>
          <w:tcPr>
            <w:tcW w:type="dxa" w:w="7776"/>
          </w:tcPr>
          <w:p>
            <w:pPr>
              <w:spacing w:after="0" w:before="0"/>
            </w:pPr>
            <w:r/>
            <w:r>
              <w:rPr>
                <w:rFonts w:ascii="Arial" w:hAnsi="Arial"/>
                <w:b w:val="0"/>
                <w:color w:val="111827"/>
                <w:sz w:val="18"/>
              </w:rPr>
              <w:t>Work the first half of the steps individually, then pool as a group</w:t>
            </w:r>
          </w:p>
        </w:tc>
      </w:tr>
      <w:tr>
        <w:tc>
          <w:tcPr>
            <w:tcW w:type="dxa" w:w="1296"/>
          </w:tcPr>
          <w:p>
            <w:pPr>
              <w:spacing w:after="0" w:before="0"/>
            </w:pPr>
            <w:r/>
            <w:r>
              <w:rPr>
                <w:rFonts w:ascii="Arial" w:hAnsi="Arial"/>
                <w:b/>
                <w:color w:val="1F6FEB"/>
                <w:sz w:val="18"/>
              </w:rPr>
              <w:t>28 min</w:t>
            </w:r>
          </w:p>
        </w:tc>
        <w:tc>
          <w:tcPr>
            <w:tcW w:type="dxa" w:w="7776"/>
          </w:tcPr>
          <w:p>
            <w:pPr>
              <w:spacing w:after="0" w:before="0"/>
            </w:pPr>
            <w:r/>
            <w:r>
              <w:rPr>
                <w:rFonts w:ascii="Arial" w:hAnsi="Arial"/>
                <w:b w:val="0"/>
                <w:color w:val="111827"/>
                <w:sz w:val="18"/>
              </w:rPr>
              <w:t>Complete the remaining steps and finalise the deliverable</w:t>
            </w:r>
          </w:p>
        </w:tc>
      </w:tr>
      <w:tr>
        <w:tc>
          <w:tcPr>
            <w:tcW w:type="dxa" w:w="1296"/>
          </w:tcPr>
          <w:p>
            <w:pPr>
              <w:spacing w:after="0" w:before="0"/>
            </w:pPr>
            <w:r/>
            <w:r>
              <w:rPr>
                <w:rFonts w:ascii="Arial" w:hAnsi="Arial"/>
                <w:b/>
                <w:color w:val="1F6FEB"/>
                <w:sz w:val="18"/>
              </w:rPr>
              <w:t>11 min</w:t>
            </w:r>
          </w:p>
        </w:tc>
        <w:tc>
          <w:tcPr>
            <w:tcW w:type="dxa" w:w="7776"/>
          </w:tcPr>
          <w:p>
            <w:pPr>
              <w:spacing w:after="0" w:before="0"/>
            </w:pPr>
            <w:r/>
            <w:r>
              <w:rPr>
                <w:rFonts w:ascii="Arial" w:hAnsi="Arial"/>
                <w:b w:val="0"/>
                <w:color w:val="111827"/>
                <w:sz w:val="18"/>
              </w:rPr>
              <w:t>Group share-back, facilitator debrief and exam-style linkage</w:t>
            </w:r>
          </w:p>
        </w:tc>
      </w:tr>
    </w:tbl>
    <w:p>
      <w:pPr>
        <w:spacing w:after="120" w:before="120"/>
      </w:pPr>
      <w:r>
        <w:rPr>
          <w:rFonts w:ascii="Arial" w:hAnsi="Arial"/>
          <w:b/>
          <w:i w:val="0"/>
          <w:color w:val="111827"/>
          <w:sz w:val="21"/>
        </w:rPr>
        <w:t>Total: 75 minutes</w:t>
      </w:r>
    </w:p>
    <w:p>
      <w:pPr>
        <w:spacing w:before="280" w:after="100"/>
      </w:pPr>
      <w:r>
        <w:rPr>
          <w:rFonts w:ascii="Arial" w:hAnsi="Arial"/>
          <w:b/>
          <w:color w:val="111827"/>
          <w:sz w:val="26"/>
        </w:rPr>
        <w:t>Discussion &amp; decision prompts</w:t>
      </w:r>
    </w:p>
    <w:p>
      <w:pPr>
        <w:pStyle w:val="ListNumber"/>
        <w:spacing w:after="60" w:before="0"/>
      </w:pPr>
      <w:r>
        <w:rPr>
          <w:rFonts w:ascii="Arial" w:hAnsi="Arial"/>
          <w:b w:val="0"/>
          <w:i w:val="0"/>
          <w:color w:val="111827"/>
          <w:sz w:val="21"/>
        </w:rPr>
        <w:t>Write a shared project vision that the team can recall without reading it, and test it against explicit criteria — how did your group decide, and what would change that decision?</w:t>
      </w:r>
    </w:p>
    <w:p>
      <w:pPr>
        <w:pStyle w:val="ListNumber"/>
        <w:spacing w:after="60" w:before="0"/>
      </w:pPr>
      <w:r>
        <w:rPr>
          <w:rFonts w:ascii="Arial" w:hAnsi="Arial"/>
          <w:b w:val="0"/>
          <w:i w:val="0"/>
          <w:color w:val="111827"/>
          <w:sz w:val="21"/>
        </w:rPr>
        <w:t>Build a team charter naming all 9 team members, their skills, their capacity and their working agreement — how did your group decide, and what would change that decision?</w:t>
      </w:r>
    </w:p>
    <w:p>
      <w:pPr>
        <w:pStyle w:val="ListNumber"/>
        <w:spacing w:after="60" w:before="0"/>
      </w:pPr>
      <w:r>
        <w:rPr>
          <w:rFonts w:ascii="Arial" w:hAnsi="Arial"/>
          <w:b w:val="0"/>
          <w:i w:val="0"/>
          <w:color w:val="111827"/>
          <w:sz w:val="21"/>
        </w:rPr>
        <w:t>Set ground rules across six categories, each with an observable, testable standard — how did your group decide, and what would change that decision?</w:t>
      </w:r>
    </w:p>
    <w:p>
      <w:pPr>
        <w:pStyle w:val="ListNumber"/>
        <w:spacing w:after="60" w:before="0"/>
      </w:pPr>
      <w:r>
        <w:rPr>
          <w:rFonts w:ascii="Arial" w:hAnsi="Arial"/>
          <w:b w:val="0"/>
          <w:i w:val="0"/>
          <w:color w:val="111827"/>
          <w:sz w:val="21"/>
        </w:rPr>
        <w:t>Your vision is under 30 words and you can trace it to at least two Lab 06 success criteria by number — can every member of your group defend it?</w:t>
      </w:r>
    </w:p>
    <w:p>
      <w:pPr>
        <w:pStyle w:val="ListNumber"/>
        <w:spacing w:after="60" w:before="0"/>
      </w:pPr>
      <w:r>
        <w:rPr>
          <w:rFonts w:ascii="Arial" w:hAnsi="Arial"/>
          <w:b w:val="0"/>
          <w:i w:val="0"/>
          <w:color w:val="111827"/>
          <w:sz w:val="21"/>
        </w:rPr>
        <w:t>Where would team charter, ground rules and shared vision have saved you time or money on a real project you have worked on?</w:t>
      </w:r>
    </w:p>
    <w:p>
      <w:pPr>
        <w:spacing w:before="280" w:after="100"/>
      </w:pPr>
      <w:r>
        <w:rPr>
          <w:rFonts w:ascii="Arial" w:hAnsi="Arial"/>
          <w:b/>
          <w:color w:val="111827"/>
          <w:sz w:val="26"/>
        </w:rPr>
        <w:t>What good looks like</w:t>
      </w:r>
    </w:p>
    <w:p>
      <w:pPr>
        <w:pStyle w:val="ListBullet"/>
        <w:spacing w:after="40" w:before="0"/>
      </w:pPr>
      <w:r>
        <w:rPr>
          <w:rFonts w:ascii="Arial" w:hAnsi="Arial"/>
          <w:b w:val="0"/>
          <w:i w:val="0"/>
          <w:color w:val="111827"/>
          <w:sz w:val="21"/>
        </w:rPr>
        <w:t>Your vision is under 30 words and you can trace it to at least two Lab 06 success criteria by number.</w:t>
      </w:r>
    </w:p>
    <w:p>
      <w:pPr>
        <w:pStyle w:val="ListBullet"/>
        <w:spacing w:after="40" w:before="0"/>
      </w:pPr>
      <w:r>
        <w:rPr>
          <w:rFonts w:ascii="Arial" w:hAnsi="Arial"/>
          <w:b w:val="0"/>
          <w:i w:val="0"/>
          <w:color w:val="111827"/>
          <w:sz w:val="21"/>
        </w:rPr>
        <w:t>You can state the difference between the project charter (Lab 06) and the team charter, including who issues each.</w:t>
      </w:r>
    </w:p>
    <w:p>
      <w:pPr>
        <w:pStyle w:val="ListBullet"/>
        <w:spacing w:after="40" w:before="0"/>
      </w:pPr>
      <w:r>
        <w:rPr>
          <w:rFonts w:ascii="Arial" w:hAnsi="Arial"/>
          <w:b w:val="0"/>
          <w:i w:val="0"/>
          <w:color w:val="111827"/>
          <w:sz w:val="21"/>
        </w:rPr>
        <w:t>Every ground rule has a violation test. If you cannot describe what breaking it looks like, rewrite it or delete it.</w:t>
      </w:r>
    </w:p>
    <w:p>
      <w:pPr>
        <w:pStyle w:val="ListBullet"/>
        <w:spacing w:after="40" w:before="0"/>
      </w:pPr>
      <w:r>
        <w:rPr>
          <w:rFonts w:ascii="Arial" w:hAnsi="Arial"/>
          <w:b w:val="0"/>
          <w:i w:val="0"/>
          <w:color w:val="111827"/>
          <w:sz w:val="21"/>
        </w:rPr>
        <w:t>Your definition of done separates "done" from "released", and you can explain why merging the two would stall the team between week 18 and 30 June.</w:t>
      </w:r>
    </w:p>
    <w:p>
      <w:pPr>
        <w:pStyle w:val="ListBullet"/>
        <w:spacing w:after="40" w:before="0"/>
      </w:pPr>
      <w:r>
        <w:rPr>
          <w:rFonts w:ascii="Arial" w:hAnsi="Arial"/>
          <w:b w:val="0"/>
          <w:i w:val="0"/>
          <w:color w:val="111827"/>
          <w:sz w:val="21"/>
        </w:rPr>
        <w:t>Your decision table uses at least two different rules and names a specific person as decider for every command-rule row.</w:t>
      </w:r>
    </w:p>
    <w:p>
      <w:pPr>
        <w:pStyle w:val="ListBullet"/>
        <w:spacing w:after="40" w:before="0"/>
      </w:pPr>
      <w:r>
        <w:rPr>
          <w:rFonts w:ascii="Arial" w:hAnsi="Arial"/>
          <w:b w:val="0"/>
          <w:i w:val="0"/>
          <w:color w:val="111827"/>
          <w:sz w:val="21"/>
        </w:rPr>
        <w:t>Your architecture row names a decider for the deadlock case, decided before any deadlock exists.</w:t>
      </w:r>
    </w:p>
    <w:p>
      <w:pPr>
        <w:pStyle w:val="ListBullet"/>
        <w:spacing w:after="40" w:before="0"/>
      </w:pPr>
      <w:r>
        <w:rPr>
          <w:rFonts w:ascii="Arial" w:hAnsi="Arial"/>
          <w:b w:val="0"/>
          <w:i w:val="0"/>
          <w:color w:val="111827"/>
          <w:sz w:val="21"/>
        </w:rPr>
        <w:t>Your skills matrix identifies at least three single points of failure, each with a named owner and a dated mitigating action.</w:t>
      </w:r>
    </w:p>
    <w:p>
      <w:pPr>
        <w:pStyle w:val="ListBullet"/>
        <w:spacing w:after="40" w:before="0"/>
      </w:pPr>
      <w:r>
        <w:rPr>
          <w:rFonts w:ascii="Arial" w:hAnsi="Arial"/>
          <w:b w:val="0"/>
          <w:i w:val="0"/>
          <w:color w:val="111827"/>
          <w:sz w:val="21"/>
        </w:rPr>
        <w:t>Your graduated response starts at "name it in the moment" and states which categories of breach bypass the ladder entirely.</w:t>
      </w:r>
    </w:p>
    <w:p>
      <w:pPr>
        <w:spacing w:after="120" w:before="320"/>
        <w:jc w:val="center"/>
      </w:pPr>
      <w:r>
        <w:rPr>
          <w:rFonts w:ascii="Arial" w:hAnsi="Arial"/>
          <w:b w:val="0"/>
          <w:i w:val="0"/>
          <w:color w:val="555F6D"/>
          <w:sz w:val="15"/>
        </w:rPr>
        <w:t>Project Management Masterclass · C523 · Version v3.0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