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8 — LEARNER WORKSHEET</w:t>
      </w:r>
    </w:p>
    <w:p>
      <w:pPr>
        <w:spacing w:after="40" w:before="0"/>
      </w:pPr>
      <w:r>
        <w:rPr>
          <w:rFonts w:ascii="Arial" w:hAnsi="Arial"/>
          <w:b/>
          <w:i w:val="0"/>
          <w:color w:val="111827"/>
          <w:sz w:val="30"/>
        </w:rPr>
        <w:t>Team Charter, Ground Rules and Shared Vision</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75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LO2</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2 - Start the Project</w:t>
            </w:r>
          </w:p>
        </w:tc>
      </w:tr>
    </w:tbl>
    <w:p>
      <w:pPr>
        <w:spacing w:after="40" w:before="0"/>
      </w:pPr>
    </w:p>
    <w:p>
      <w:pPr>
        <w:spacing w:before="280" w:after="100"/>
      </w:pPr>
      <w:r>
        <w:rPr>
          <w:rFonts w:ascii="Arial" w:hAnsi="Arial"/>
          <w:b/>
          <w:color w:val="111827"/>
          <w:sz w:val="26"/>
        </w:rPr>
        <w:t>What you are doing</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after="120" w:before="0"/>
      </w:pPr>
      <w:r>
        <w:rPr>
          <w:rFonts w:ascii="Arial" w:hAnsi="Arial"/>
          <w:b/>
          <w:i w:val="0"/>
          <w:color w:val="111827"/>
          <w:sz w:val="21"/>
        </w:rPr>
        <w:t>What you will produce: team charter, ground rules, vision statement — submitted to artifacts/.</w:t>
      </w:r>
    </w:p>
    <w:p>
      <w:pPr>
        <w:spacing w:before="280" w:after="100"/>
      </w:pPr>
      <w:r>
        <w:rPr>
          <w:rFonts w:ascii="Arial" w:hAnsi="Arial"/>
          <w:b/>
          <w:color w:val="111827"/>
          <w:sz w:val="26"/>
        </w:rPr>
        <w:t>What you need before you start</w:t>
      </w:r>
    </w:p>
    <w:p>
      <w:pPr>
        <w:pStyle w:val="ListBullet"/>
        <w:spacing w:after="40" w:before="0"/>
      </w:pPr>
      <w:r>
        <w:rPr>
          <w:rFonts w:ascii="Arial" w:hAnsi="Arial"/>
          <w:b w:val="0"/>
          <w:i w:val="0"/>
          <w:color w:val="111827"/>
          <w:sz w:val="21"/>
        </w:rPr>
        <w:t>Lab 06 charter, success criteria and PM authority levels</w:t>
      </w:r>
    </w:p>
    <w:p>
      <w:pPr>
        <w:pStyle w:val="ListBullet"/>
        <w:spacing w:after="40" w:before="0"/>
      </w:pPr>
      <w:r>
        <w:rPr>
          <w:rFonts w:ascii="Arial" w:hAnsi="Arial"/>
          <w:b w:val="0"/>
          <w:i w:val="0"/>
          <w:color w:val="111827"/>
          <w:sz w:val="21"/>
        </w:rPr>
        <w:t>Lab 07 stakeholder register and engagement matrix</w:t>
      </w:r>
    </w:p>
    <w:p>
      <w:pPr>
        <w:spacing w:before="280" w:after="100"/>
      </w:pPr>
      <w:r>
        <w:rPr>
          <w:rFonts w:ascii="Arial" w:hAnsi="Arial"/>
          <w:b/>
          <w:color w:val="111827"/>
          <w:sz w:val="26"/>
        </w:rPr>
        <w:t>Your steps</w:t>
      </w:r>
    </w:p>
    <w:p>
      <w:pPr>
        <w:pStyle w:val="ListNumber"/>
        <w:spacing w:after="60" w:before="0"/>
      </w:pPr>
      <w:r>
        <w:rPr>
          <w:rFonts w:ascii="Arial" w:hAnsi="Arial"/>
          <w:b w:val="0"/>
          <w:i w:val="0"/>
          <w:color w:val="111827"/>
          <w:sz w:val="21"/>
        </w:rPr>
        <w:t>Draft the shared vision statement. Create artifacts/08-vision-statement.md. The ECO People T1 enablers are "examine the vision and mission", "establish a shared vision" and "support and maintain the vision". You start with the charter's purpose (Lab 06 Step 2) and the success criteria (Lab 06 Step 3), and compress them into something a developer can repeat in a corridor.</w:t>
      </w:r>
    </w:p>
    <w:p>
      <w:pPr>
        <w:pStyle w:val="ListNumber"/>
        <w:spacing w:after="60" w:before="0"/>
      </w:pPr>
      <w:r>
        <w:rPr>
          <w:rFonts w:ascii="Arial" w:hAnsi="Arial"/>
          <w:b w:val="0"/>
          <w:i w:val="0"/>
          <w:color w:val="111827"/>
          <w:sz w:val="21"/>
        </w:rPr>
        <w:t>Name the team. Create artifacts/08-team-charter.md. The Lab 06 constraint CON-4 fixes the team at 9 people with no additional headcount, so this list is complete and permanent. Capacity is stated in story points per 2-week sprint and totals the Lab 06 figure of approximately 34.</w:t>
      </w:r>
    </w:p>
    <w:p>
      <w:pPr>
        <w:pStyle w:val="ListNumber"/>
        <w:spacing w:after="60" w:before="0"/>
      </w:pPr>
      <w:r>
        <w:rPr>
          <w:rFonts w:ascii="Arial" w:hAnsi="Arial"/>
          <w:b w:val="0"/>
          <w:i w:val="0"/>
          <w:color w:val="111827"/>
          <w:sz w:val="21"/>
        </w:rPr>
        <w:t>Write the working agreement on time and availability. The team is not co-located: Daniel Ofori works from Accra (GMT), everyone else is in Singapore (GMT+8). That is an 8-hour offset with only a narrow natural overlap, so core hours must be explicit or they will be discovered by accident.</w:t>
      </w:r>
    </w:p>
    <w:p>
      <w:pPr>
        <w:pStyle w:val="ListNumber"/>
        <w:spacing w:after="60" w:before="0"/>
      </w:pPr>
      <w:r>
        <w:rPr>
          <w:rFonts w:ascii="Arial" w:hAnsi="Arial"/>
          <w:b w:val="0"/>
          <w:i w:val="0"/>
          <w:color w:val="111827"/>
          <w:sz w:val="21"/>
        </w:rPr>
        <w:t>Set ground rules across six categories. Create artifacts/08-ground-rules.md. Every rule must be observable. "Be respectful" is not a ground rule; "no interrupting - use the raise-hand" is.</w:t>
      </w:r>
    </w:p>
    <w:p>
      <w:pPr>
        <w:pStyle w:val="ListNumber"/>
        <w:spacing w:after="60" w:before="0"/>
      </w:pPr>
      <w:r>
        <w:rPr>
          <w:rFonts w:ascii="Arial" w:hAnsi="Arial"/>
          <w:b w:val="0"/>
          <w:i w:val="0"/>
          <w:color w:val="111827"/>
          <w:sz w:val="21"/>
        </w:rPr>
        <w:t>Agree the definition of done. The Lab 16 storming narrative is caused by a definition of done that was never agreed. Agree it now, with the QA lead (T-6 Kenneth Lau) in the room, not after the fact.</w:t>
      </w:r>
    </w:p>
    <w:p>
      <w:pPr>
        <w:pStyle w:val="ListNumber"/>
        <w:spacing w:after="60" w:before="0"/>
      </w:pPr>
      <w:r>
        <w:rPr>
          <w:rFonts w:ascii="Arial" w:hAnsi="Arial"/>
          <w:b w:val="0"/>
          <w:i w:val="0"/>
          <w:color w:val="111827"/>
          <w:sz w:val="21"/>
        </w:rPr>
        <w:t>Choose the decision-making rule for each decision class. Three rules, three legitimate uses. The error is using one rule for everything - consensus on everything is paralysis, command on everything destroys ownership.</w:t>
      </w:r>
    </w:p>
    <w:p>
      <w:pPr>
        <w:pStyle w:val="ListNumber"/>
        <w:spacing w:after="60" w:before="0"/>
      </w:pPr>
      <w:r>
        <w:rPr>
          <w:rFonts w:ascii="Arial" w:hAnsi="Arial"/>
          <w:b w:val="0"/>
          <w:i w:val="0"/>
          <w:color w:val="111827"/>
          <w:sz w:val="21"/>
        </w:rPr>
        <w:t>Build the skills and capacity matrix. Rate 1 (no capability) to 5 (can lead and teach). This exposes single points of failure while there is still time to do something about them.</w:t>
      </w:r>
    </w:p>
    <w:p>
      <w:pPr>
        <w:pStyle w:val="ListNumber"/>
        <w:spacing w:after="60" w:before="0"/>
      </w:pPr>
      <w:r>
        <w:rPr>
          <w:rFonts w:ascii="Arial" w:hAnsi="Arial"/>
          <w:b w:val="0"/>
          <w:i w:val="0"/>
          <w:color w:val="111827"/>
          <w:sz w:val="21"/>
        </w:rPr>
        <w:t>Design the graduated response to ground-rule violations. ECO People T2 carries the enabler "manage and rectify ground rule violations". A response designed after the first violation looks like a punishment aimed at a person. A response designed in week 1 looks like a process.</w:t>
      </w:r>
    </w:p>
    <w:p>
      <w:pPr>
        <w:pStyle w:val="ListNumber"/>
        <w:spacing w:after="60" w:before="0"/>
      </w:pPr>
      <w:r>
        <w:rPr>
          <w:rFonts w:ascii="Arial" w:hAnsi="Arial"/>
          <w:b w:val="0"/>
          <w:i w:val="0"/>
          <w:color w:val="111827"/>
          <w:sz w:val="21"/>
        </w:rPr>
        <w:t>Forward-reference the RACI and set the vision review cadence. The team charter says who is on the team and how they work. It does not say who is accountable for each deliverable - that is the RACI, built in Lab 15. Record the placeholder now so the two documents stay linked:</w:t>
      </w:r>
    </w:p>
    <w:p>
      <w:pPr>
        <w:pStyle w:val="ListNumber"/>
        <w:spacing w:after="60" w:before="0"/>
      </w:pPr>
      <w:r>
        <w:rPr>
          <w:rFonts w:ascii="Arial" w:hAnsi="Arial"/>
          <w:b w:val="0"/>
          <w:i w:val="0"/>
          <w:color w:val="111827"/>
          <w:sz w:val="21"/>
        </w:rPr>
        <w:t>Answer the exam-style scenarios</w:t>
      </w:r>
    </w:p>
    <w:p>
      <w:pPr>
        <w:spacing w:before="280" w:after="100"/>
      </w:pPr>
      <w:r>
        <w:rPr>
          <w:rFonts w:ascii="Arial" w:hAnsi="Arial"/>
          <w:b/>
          <w:color w:val="111827"/>
          <w:sz w:val="26"/>
        </w:rPr>
        <w:t>Your working space</w:t>
      </w:r>
    </w:p>
    <w:p>
      <w:pPr>
        <w:spacing w:after="160" w:before="0"/>
      </w:pPr>
      <w:r>
        <w:rPr>
          <w:rFonts w:ascii="Arial" w:hAnsi="Arial"/>
          <w:b w:val="0"/>
          <w:i/>
          <w:color w:val="555F6D"/>
          <w:sz w:val="21"/>
        </w:rPr>
        <w:t>Complete every field. Keep this worksheet — it is your reference for the rest of the course.</w:t>
      </w:r>
    </w:p>
    <w:p>
      <w:pPr>
        <w:spacing w:after="60" w:before="0"/>
      </w:pPr>
      <w:r>
        <w:rPr>
          <w:rFonts w:ascii="Arial" w:hAnsi="Arial"/>
          <w:b/>
          <w:i w:val="0"/>
          <w:color w:val="111827"/>
          <w:sz w:val="20"/>
        </w:rPr>
        <w:t>Step 1 — Draft the shared vision statement</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2 — Name the team</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3 — Write the working agreement on time and availability</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4 — Set ground rules across six categories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5 — Agree the definition of done</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6 — Choose the decision-making rule for each decision class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7 — Build the skills and capacity matrix</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8 — Design the graduated response to ground-rule violations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9 — Forward-reference the RACI and set the vision review cadence</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10 — Answer the exam-style scenarios</w:t>
      </w:r>
    </w:p>
    <w:p>
      <w:pPr>
        <w:spacing w:before="200" w:after="200"/>
        <w:pBdr>
          <w:bottom w:val="single" w:sz="6" w:space="1" w:color="B8C4D0"/>
        </w:pBdr>
      </w:pPr>
    </w:p>
    <w:p>
      <w:pPr>
        <w:spacing w:before="200" w:after="200"/>
        <w:pBdr>
          <w:bottom w:val="single" w:sz="6" w:space="1" w:color="B8C4D0"/>
        </w:pBdr>
      </w:pPr>
    </w:p>
    <w:p>
      <w:pPr>
        <w:spacing w:before="280" w:after="100"/>
      </w:pPr>
      <w:r>
        <w:rPr>
          <w:rFonts w:ascii="Arial" w:hAnsi="Arial"/>
          <w:b/>
          <w:color w:val="111827"/>
          <w:sz w:val="26"/>
        </w:rPr>
        <w:t>Deliverable checklist</w:t>
      </w:r>
    </w:p>
    <w:p>
      <w:pPr>
        <w:pStyle w:val="ListBullet"/>
        <w:spacing w:after="40" w:before="0"/>
      </w:pPr>
      <w:r>
        <w:rPr>
          <w:rFonts w:ascii="Arial" w:hAnsi="Arial"/>
          <w:b w:val="0"/>
          <w:i w:val="0"/>
          <w:color w:val="111827"/>
          <w:sz w:val="21"/>
        </w:rPr>
        <w:t>08-vision-statement.md - the adopted vision, at least two rejected drafts with the reason each was rejected, and the six-criterion test table completed.</w:t>
      </w:r>
    </w:p>
    <w:p>
      <w:pPr>
        <w:pStyle w:val="ListBullet"/>
        <w:spacing w:after="40" w:before="0"/>
      </w:pPr>
      <w:r>
        <w:rPr>
          <w:rFonts w:ascii="Arial" w:hAnsi="Arial"/>
          <w:b w:val="0"/>
          <w:i w:val="0"/>
          <w:color w:val="111827"/>
          <w:sz w:val="21"/>
        </w:rPr>
        <w:t>08-team-charter.md - all 9 team members with names, roles, skills, sprint capacity and development needs; the external roles table; the working agreement including core hours with the time-zone arithmetic shown; the decision-rule table with a named decider per decision class; the skills matrix with all three single points of failure identified and a dated action for each; the RACI forward reference with exactly one A per row.</w:t>
      </w:r>
    </w:p>
    <w:p>
      <w:pPr>
        <w:pStyle w:val="ListBullet"/>
        <w:spacing w:after="40" w:before="0"/>
      </w:pPr>
      <w:r>
        <w:rPr>
          <w:rFonts w:ascii="Arial" w:hAnsi="Arial"/>
          <w:b w:val="0"/>
          <w:i w:val="0"/>
          <w:color w:val="111827"/>
          <w:sz w:val="21"/>
        </w:rPr>
        <w:t>08-ground-rules.md - at least 16 ground rules across the six categories, each with an observable violation test; the definition of done and the definition of ready; the six-level graduated response ladder including the note on which breaches skip it.</w:t>
      </w:r>
    </w:p>
    <w:p>
      <w:pPr>
        <w:pStyle w:val="ListBullet"/>
        <w:spacing w:after="40" w:before="0"/>
      </w:pPr>
      <w:r>
        <w:rPr>
          <w:rFonts w:ascii="Arial" w:hAnsi="Arial"/>
          <w:b w:val="0"/>
          <w:i w:val="0"/>
          <w:color w:val="111827"/>
          <w:sz w:val="21"/>
        </w:rPr>
        <w:t>The vision maintenance cadence table.</w:t>
      </w:r>
    </w:p>
    <w:p>
      <w:pPr>
        <w:pStyle w:val="ListBullet"/>
        <w:spacing w:after="40" w:before="0"/>
      </w:pPr>
      <w:r>
        <w:rPr>
          <w:rFonts w:ascii="Arial" w:hAnsi="Arial"/>
          <w:b w:val="0"/>
          <w:i w:val="0"/>
          <w:color w:val="111827"/>
          <w:sz w:val="21"/>
        </w:rPr>
        <w:t>Written answers to the three scenarios.</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