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9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Requirements Elicitation, Mind Mapping and the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Requirements Elicitation, Mind Mapping and the Traceability Matrix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non-functional requirement in your register contains a number and a measurement method. If any NFR reads "fast", "reliable" or "user-friendly", it is not finished.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requirement has an acceptance criterion that could be handed to a tester who was not in the room.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used observation rather than interviews for the admin staff, and you can state why.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register contains at least three transition requirements. If it has none, you have confused the product with the project.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RTM traces in both directions, and you can demonstrate an impact analysis by naming every downstream artifact affected by a change to REQ-018.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computed a compliance coverage fraction as a number, found it was below 13/13, and drafted the requirements to close the gap - rather than assuming coverage.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 what happens to a requirement after baseline and what does not require a change request in the hybrid model.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No requirement in your register specifies a technology choice unless a named stakeholder genuinely requires that technology.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non-functional requirement in your register contains a number and a measurement method. If any NFR reads "fast", "reliable" or "user-friendly", it is not finished.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