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9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Requirements Elicitation, Mind Mapping and the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select the right elicitation technique for each stakeholder group rather than defaulting to interviews for everything.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requirements mindmap, requirements register, rtm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Choose elicitation techniques deliberately. There is no single best technique. Each buys different information at a different cost, and the exam tests whether you can match technique to situation.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requirements mind map in the live tool. Open the mind mapping tool: Mind Mapping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the room agrees too quickly, take the quietest role aside and give them one more constraint.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the requirements register. Create artifacts/09-requirements-register.md. Priority uses MoSCoW, which Lab 10 will formalise and challenge.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Set requirement attributes and versioning. A requirement is not just a sentence. Each one carries attributes that make it manageable. Record these for every requirement in the register.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requirements traceability matrix. Create artifacts/09-rtm.md. The RTM is the single artifact that connects the business need at one end to the test evidence at the other. Build it as a table with a column for every link in that chain.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Understand what bidirectional traceability actually buys you. Compute the current compliance coverage from the matrix above and record it: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90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Select the right elicitation technique for each stakeholder group rather than defaulting to interviews for everything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Use a mind map to decompose the charter's six high-level requirements into a structured requirement set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a requirements register in which every requirement is testable, sourced and prioritised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non-functional requirement in your register contains a number and a measurement method. If any NFR reads "fast", "reliable" or "user-friendly", it is not finished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requirements elicitation, mind mapping and the traceability matrix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non-functional requirement in your register contains a number and a measurement method. If any NFR reads "fast", "reliable" or "user-friendly", it is not finished.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requirement has an acceptance criterion that could be handed to a tester who was not in the room.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used observation rather than interviews for the admin staff, and you can state why.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register contains at least three transition requirements. If it has none, you have confused the product with the project.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RTM traces in both directions, and you can demonstrate an impact analysis by naming every downstream artifact affected by a change to REQ-018.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computed a compliance coverage fraction as a number, found it was below 13/13, and drafted the requirements to close the gap - rather than assuming coverage.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 what happens to a requirement after baseline and what does not require a change request in the hybrid model.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No requirement in your register specifies a technology choice unless a named stakeholder genuinely requires that technology.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