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9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Requirements Elicitation, Mind Mapping and the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requirements mindmap, requirements register, rtm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06 charter high-level requirements R-1 to R-6 and scope boundaries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07 stakeholder register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04 compliance requirements C-01 to C-13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Choose elicitation techniques deliberately. There is no single best technique. Each buys different information at a different cost, and the exam tests whether you can match technique to situation.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requirements mind map in the live tool. Open the mind mapping tool: Mind Mapping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the requirements register. Create artifacts/09-requirements-register.md. Priority uses MoSCoW, which Lab 10 will formalise and challenge.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Set requirement attributes and versioning. A requirement is not just a sentence. Each one carries attributes that make it manageable. Record these for every requirement in the register.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requirements traceability matrix. Create artifacts/09-rtm.md. The RTM is the single artifact that connects the business need at one end to the test evidence at the other. Build it as a table with a column for every link in that chain.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Understand what bidirectional traceability actually buys you. Compute the current compliance coverage from the matrix above and record it: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Choose elicitation techniques deliberately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Build the requirements mind map in the live tool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Write the requirements register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Set requirement attributes and versioning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Build the requirements traceability matrix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Understand what bidirectional traceability actually buys you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09-requirements-mindmap.md - the exported or screenshotted mind map with the central node, all eight branches and at least four sub-branch leaves each.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09-requirements-register.md - at least 22 numbered requirements spanning business, stakeholder, functional, non-functional, transition and quality categories, each with source, priority and a testable acceptance criterion.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requirement attribute set completed for at least five requirements, including status and version.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09-rtm.md - at least 12 populated rows tracing business need, charter requirement, requirement ID, WBS element, story, design artifact, test case and compliance requirement.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compliance coverage fraction computed from the RTM, with the uncovered C-nn named and the closing requirements drafted.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elicitation technique selection table with the technique chosen for each stakeholder group and the reason.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