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11 — CHECKLIST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Work Breakdown Structure and WBS Dictionary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75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LO1, LO2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3 - Plan the Project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84"/>
        <w:gridCol w:w="7488"/>
      </w:tblGrid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Name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Date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Self-check — Work Breakdown Structure and WBS Dictionary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555F6D"/>
          <w:sz w:val="21"/>
        </w:rPr>
        <w:t>Tick each item you have completed. Any blank is a gap to close before your group presents at the debrief.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"/>
        <w:gridCol w:w="5760"/>
        <w:gridCol w:w="2160"/>
        <w:gridCol w:w="648"/>
      </w:tblGrid>
      <w:tr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Evidences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WBS element is a noun phrase. If any element begins with a verb, it is an activity and belongs in Lab 12.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LO1, 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WBS contains a project management branch. A WBS with no 1.1 does not include 100% of the work, because managing the project is work that consumes budget.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LO1, 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one of IN-1 to IN-10 maps to a WBS element, and none of OUT-1 to OUT-7 appears anywhere.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LO1, 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verified the 100% rule at each level by asking what is left over, not by assuming.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LO1, 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work package efforts sum to SGD 347,980, reconciling to the charter's SGD 348,000 development line. If they do not, Lab 13 will not reconcile either.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LO1, 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dictionary entry has acceptance criteria that someone outside the planning session could apply without asking a question.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LO1, 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can state the three components of the scope baseline without hesitating, and explain why the WBS alone is insufficient.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LO1, 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have at least one planning package, and you can explain why decomposing it now would produce detail rather than accuracy.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LO1, 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Debrief check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Every WBS element is a noun phrase. If any element begins with a verb, it is an activity and belongs in Lab 12.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Feedback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did you find hardest in this activity?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is the ONE thing you will do differently at work?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