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13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Cost Estimating, Budget and Reserves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Cost Estimating, Budget and Reserves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bottom-up labour total is SGD 347,980 and reconciles to the charter's SGD 348,000 within SGD 20.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No role is funded from two budget lines. Check the UX designer and content lead in particular.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state, without hesitating, that the cost baseline equals work plus contingency and the project budget equals cost baseline plus management reserve - and which reserve the PM controls.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contingency reserve is derived from residual EMV, not from a percentage, and you can show why using gross EMV would double-count.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residual net EMV is approximately SGD 26,600 and you stated the SGD 600 variance against the charter rather than rounding it away.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cumulative PV at week 14 is exactly SGD 268,000 and your periods sum to exactly SGD 480,000. Lab 20 depends on both figures.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S-curve is shallow, then steep, then flattening. A straight line means you divided rather than phased.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chose one contingency convention and applied it consistently, and can explain the phantom variance that mixing them produces.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bottom-up labour total is SGD 347,980 and reconciles to the charter's SGD 348,000 within SGD 20.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