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13 — FACILITATOR GUIDE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Cost Estimating, Budget and Reserves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LO2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3 - Plan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Purpose of this activity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By the end of this activity learners will be able to select the right estimating technique for the information you actually have, and state its accuracy range.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learners produce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cost estimates, cost baseline, reserve analysis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Materials required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Learner Worksheet (one per learner)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Checklist (one per group)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Flipchart or A3 sheet and markers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Laptop with internet access for the live problem-solving tools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course slides for the framework and worked example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Set-up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Groups of 3 to 4. Distribute one worksheet per learner and one checklist per group; each group needs one laptop for the calculations.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Scenario / briefing material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How to run it — step by step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76"/>
        <w:gridCol w:w="4752"/>
        <w:gridCol w:w="3888"/>
      </w:tblGrid>
      <w:tr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Instruction to learners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Facilitator note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the bottom-up estimate from the WBS. Create artifacts/13-cost-estimates.md. Take effort from the Lab 11 WBS dictionary and apply the differentiated resource rates.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Contingency reserve versus management reserve. This is the central concept of the lab and one of the most reliably tested distinctions in the entire cost area. Learn it as a table and be able to reproduce it.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Size the contingency reserve by expected monetary value. A reserve set as "10% because that is what we always do" is not an estimate; it is a habit. Size it from the risk register.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the time-phased cost baseline. A total budget is not a baseline. A baseline is time-phased - it says how much should have been spent by any given date, which is what makes variance measurable. Plotted cumulatively it produces the characteristic S-curve: slow at the start while the team ramps and designs, steep through the build, flattening at the end as work completes.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Funding limit reconciliation and cash flow. Contoso's board releases funds quarterly: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Circulate and ask each group to justify one entry against the case study facts.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Analyse the cost of quality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Answer the exam-style scenarios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Suggested timing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296"/>
        <w:gridCol w:w="7776"/>
      </w:tblGrid>
      <w:tr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9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Brief the scenario, confirm the inputs and assign roles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33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Work the first half of the steps individually, then pool as a group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34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Complete the remaining steps and finalise the deliverable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14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Group share-back, facilitator debrief and exam-style linkage</w:t>
            </w:r>
          </w:p>
        </w:tc>
      </w:tr>
    </w:tbl>
    <w:p>
      <w:pPr>
        <w:spacing w:after="120" w:before="120"/>
      </w:pPr>
      <w:r>
        <w:rPr>
          <w:rFonts w:ascii="Arial" w:hAnsi="Arial"/>
          <w:b/>
          <w:i w:val="0"/>
          <w:color w:val="111827"/>
          <w:sz w:val="21"/>
        </w:rPr>
        <w:t>Total: 90 minutes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Discussion &amp; decision prompts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Select the right estimating technique for the information you actually have, and state its accuracy range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a bottom-up estimate from the Lab 11 work packages that reconciles to the charter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Distinguish contingency reserve from management reserve precisely enough to answer any exam question on either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Your bottom-up labour total is SGD 347,980 and reconciles to the charter's SGD 348,000 within SGD 20 — can every member of your group defend it?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Where would cost estimating, budget and reserves have saved you time or money on a real project you have worked on?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good looks like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bottom-up labour total is SGD 347,980 and reconciles to the charter's SGD 348,000 within SGD 20.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No role is funded from two budget lines. Check the UX designer and content lead in particular.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can state, without hesitating, that the cost baseline equals work plus contingency and the project budget equals cost baseline plus management reserve - and which reserve the PM controls.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contingency reserve is derived from residual EMV, not from a percentage, and you can show why using gross EMV would double-count.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residual net EMV is approximately SGD 26,600 and you stated the SGD 600 variance against the charter rather than rounding it away.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cumulative PV at week 14 is exactly SGD 268,000 and your periods sum to exactly SGD 480,000. Lab 20 depends on both figures.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S-curve is shallow, then steep, then flattening. A straight line means you divided rather than phased.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chose one contingency convention and applied it consistently, and can explain the phantom variance that mixing them produces.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