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13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Cost Estimating, Budget and Reserves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cost estimates, cost baseline, reserve analysis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11 WBS work packages and effort estimates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12 schedule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05 business case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06 budget summary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bottom-up estimate from the WBS. Create artifacts/13-cost-estimates.md. Take effort from the Lab 11 WBS dictionary and apply the differentiated resource rates.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Contingency reserve versus management reserve. This is the central concept of the lab and one of the most reliably tested distinctions in the entire cost area. Learn it as a table and be able to reproduce it.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Size the contingency reserve by expected monetary value. A reserve set as "10% because that is what we always do" is not an estimate; it is a habit. Size it from the risk register.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time-phased cost baseline. A total budget is not a baseline. A baseline is time-phased - it says how much should have been spent by any given date, which is what makes variance measurable. Plotted cumulatively it produces the characteristic S-curve: slow at the start while the team ramps and designs, steep through the build, flattening at the end as work completes.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Funding limit reconciliation and cash flow. Contoso's board releases funds quarterly: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Analyse the cost of quality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Build the bottom-up estimate from the WBS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Contingency reserve versus management reserve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Size the contingency reserve by expected monetary value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Build the time-phased cost baseline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Funding limit reconciliation and cash flow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Analyse the cost of quality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13-cost-estimates.md - the bottom-up estimate from the Lab 11 work packages with role, effort, rate and cost per package; the reconciliation to the charter's SGD 348,000 development line with the variance stated; the non-labour categories with their estimating basis named.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ROM and definitive ranges applied to SGD 480,000, with the finding that the definitive upper bound exceeds the ceiling.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13-reserve-analysis.md - the contingency versus management reserve table; the EMV computation across at least 16 risks showing gross and residual exposure; the reconciliation to SGD 26,000 with the variance stated; the analysis of the no-management-reserve condition as a risk in itself.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13-cost-baseline.md - the 12-period time-phased baseline with planned spend and cumulative PV per period, summing to SGD 480,000, with PV at week 14 equal to SGD 268,000; the S-curve plotted; the convention for contingency stated explicitly.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funding limit reconciliation with the Q2 shortfall identified and an action recorded.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cost of quality analysis across all four categories with real figures, including the accessibility prevention-versus-retrofit ratio.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