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14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Risk Register, RBS, EMV and Decision Tree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build a risk breakdown structure and use it to identify risks systematically rather than by brainstorm alone.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risk register, rbs, pi matrix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Flipchart or A3 sheet and markers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risk breakdown structure. Create artifacts/14-rbs.md. The RBS is a hierarchy of risk SOURCES. Its purpose is systematic identification: working through categories catches risks that free brainstorming misses, because brainstorming surfaces what is memorable rather than what is likely.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Keep role-holders in role; learners drift to consensus. Push for the concern behind the stated position.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Trace risks from Lab 02 factors and Lab 06 assumptions. Risk identification is not invention. Most risks on a well-run project are already sitting in earlier artifacts, unlabelled.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risk statements in cause-event-effect form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risk register. Create artifacts/14-risk-register.md. Probability is given as a decimal and as a 1-5 score. Impact is scored 1-5, with the cost impact in SGD and the schedule impact in days.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Plot the probability/impact matrix. Create artifacts/14-pi-matrix.md. Score = probability score x impact score, both on 1-5.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Apply all ten response strategies. A real Contoso example of each of the ten: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Compute expected monetary value. Sign convention: threat impacts are shown as positive cost figures and summed as exposure; opportunity impacts are shown as negative because they reduce exposure.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and solve a decision tree. Create artifacts/14-emv-analysis.md. A decision tree evaluates a choice under uncertainty by computing the EMV of each branch and selecting the best.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Qualitative versus quantitative, and when a risk becomes an issue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for one item the group nearly dropped and what made them keep it.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10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90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risk breakdown structure and use it to identify risks systematically rather than by brainstorm alone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Trace risks from the Lab 02 environment scan and the Lab 06 assumption log, since every assumption is a latent risk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risk statements in cause-event-effect form so that the cause can be attacked and the effect can be priced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risk statement contains a cause that is a present fact, an uncertain event, and an effect on a named project objective. If any statement is a single noun phrase, it cannot be responded to or priced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risk register, rbs, emv and decision tree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risk statement contains a cause that is a present fact, an uncertain event, and an effect on a named project objective. If any statement is a single noun phrase, it cannot be responded to or priced.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register contains at least two opportunities with positive EMV. A register of threats only is half a risk register.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assumption in the Lab 06 log has a corresponding risk, and you can show the conversion for A-05.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risk has a trigger that someone could actually observe. "Monitor closely" is not a trigger.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P/I scores are consistent with your decimal probabilities - a risk at 0.45 should not score 2 on a 1-5 probability scale.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residual net EMV is approximately SGD 26,600, reconciling to the SGD 26,000 contingency with the SGD 600 variance stated rather than hidden.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opportunity probabilities INCREASED after response while your threat probabilities decreased. If both moved the same way, you applied threat logic to opportunities.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decision tree branch probabilities sum to exactly 1.0 at each chance node, and the decision node costs are included in the path totals.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