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14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Risk Register, RBS, EMV and Decision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risk register, rbs, pi matrix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02 PESTLE/TECOP factors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assumption log A-01 to A-07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13 contingency reserve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04 compliance threats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risk breakdown structure. Create artifacts/14-rbs.md. The RBS is a hierarchy of risk SOURCES. Its purpose is systematic identification: working through categories catches risks that free brainstorming misses, because brainstorming surfaces what is memorable rather than what is likely.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Trace risks from Lab 02 factors and Lab 06 assumptions. Risk identification is not invention. Most risks on a well-run project are already sitting in earlier artifacts, unlabelled.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risk statements in cause-event-effect form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risk register. Create artifacts/14-risk-register.md. Probability is given as a decimal and as a 1-5 score. Impact is scored 1-5, with the cost impact in SGD and the schedule impact in days.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Plot the probability/impact matrix. Create artifacts/14-pi-matrix.md. Score = probability score x impact score, both on 1-5.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all ten response strategies. A real Contoso example of each of the ten: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expected monetary value. Sign convention: threat impacts are shown as positive cost figures and summed as exposure; opportunity impacts are shown as negative because they reduce exposure.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and solve a decision tree. Create artifacts/14-emv-analysis.md. A decision tree evaluates a choice under uncertainty by computing the EMV of each branch and selecting the best.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Qualitative versus quantitative, and when a risk becomes an issue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Build the risk breakdown structure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Trace risks from Lab 02 factors and Lab 06 assumptions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Write risk statements in cause-event-effect form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Build the risk register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Plot the probability/impact matrix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Apply all ten response strategies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Compute expected monetary value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Build and solve a decision tree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9 — Qualitative versus quantitative, and when a risk becomes an issue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10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14-rbs.md - the risk breakdown structure to two levels across Technical, External, Organisational and Project Management, with the risk count by category and a comment on concentration.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traceability showing which Lab 02 factors and which Lab 06 assumptions generated which risks, with at least one conversion worked in full.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14-risk-register.md - 16 to 18 risks including at least two opportunities, each with a cause-event-effect statement, probability as a decimal and a 1-5 score, impact in SGD and days, PxI score, response strategy, owner, trigger, secondary risk and residual probability.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14-pi-matrix.md - the 5x5 grid with every risk plotted by ID, the red/amber/green zones defined, and the tie to the Lab 03 escalation threshold of 20 stated.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real Contoso example of each of the ten response strategies - five threat, five opportunity - including both active and passive acceptance.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14-emv-analysis.md - EMV per risk gross and residual, the totals, and the reconciliation to the SGD 26,000 contingency reserve with the variance stated.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fully worked decision tree with branch probabilities summing to 1.0 at each chance node, decision node costs included, both path EMVs computed, the recommendation stated, and a sensitivity analysis.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qualitative versus quantitative comparison and the risk-to-issue transition sequence.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