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15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RACI Responsibility Assignment Matrix and Resource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45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LO2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4 - Lead the Project Team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RACI Responsibility Assignment Matrix and Resource Plan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one of your 25 rows has exactly one A and at least one R. Count them; do not assume.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resolved the two-A defect on the compliance evidence pack by SPLITTING the task, not by demoting the DPO or the PM to C.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found the row with no R, and you can say why that row belonged to the dependent stakeholders from Lab 07 rather than to anyone powerful.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R-per-column count identified the BA at 14 of 24 rows, and you connected that to the Lab 16 storming diagnosis as a structural cause rather than a behavioural one.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challenged every C with the question "would their input change the work?" and you demoted at least one C to I with a stated reason.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resource histogram has an explicit capacity line and you stated the total demand (320 hours) against total capacity (288 hours) before choosing a remedy.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can state, without looking it up, that levelling can change the critical path and extend the end date while smoothing works within float and cannot.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rejected levelling for Contoso on the specific ground that it pushes the G1 design baseline and therefore the critical path past the immovable 30 June date in constraint CON-1.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Every one of your 25 rows has exactly one A and at least one R. Count them; do not assume.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