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15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RACI Responsibility Assignment Matrix and Resource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assign R, A, C and I precisely, and defend every assignment against the one-accountable rule.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raci matrix, resource plan, raci issues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Assemble the inputs. A RACI is derived, not invented. Confirm you have each input before you draw a single letter.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Draft the matrix (this draft contains deliberate defects). Below is the first-draft RACI as a real project team would produce it in a 40-minute workshop. It covers 20 rows drawn from the Lab 11 WBS plus four cross-cutting process rows. It contains five structural defects. Do not fix them yet - Step 3 is the audit.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Pick one entry and follow it back to its source document. Broken traces surface immediately.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Enter it in the live RACI tool. Open RACI Matrix and build the matrix so the tool can run the structural checks for you.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Audit the matrix and find the five defects. This is the real learning in this lab. A RACI is only worth building if you then interrogate it. Run the five checks in order.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Before and after, in numbers. The audit must produce a measurable change, or it was a discussion rather than an audit.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Pick one entry and follow it back to its source document. Broken traces surface immediately.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resource plan and histogram. Create artifacts/15-resource-plan.md. The RACI says who; the resource plan says how much and when.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a group finishes early, ask what changes at twice the scale or half the budget.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Level or smooth: the distinction the exam tests. Now work both remedies against the real BA over-allocation.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Connect the RACI to the communication plan. Every C and every I in the matrix is a promise to communicate. Lab 18 has to schedule and staff those promises, so count them now.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for one item the group nearly dropped and what made them keep it.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45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Assign R, A, C and I precisely, and defend every assignment against the one-accountable rule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real responsibility assignment matrix from the Lab 11 WBS, using the live RACI tool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Audit a matrix for the five structural defects that make a RACI useless, and fix them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one of your 25 rows has exactly one A and at least one R. Count them; do not assume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raci responsibility assignment matrix and resource plan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one of your 25 rows has exactly one A and at least one R. Count them; do not assume.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resolved the two-A defect on the compliance evidence pack by SPLITTING the task, not by demoting the DPO or the PM to C.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found the row with no R, and you can say why that row belonged to the dependent stakeholders from Lab 07 rather than to anyone powerful.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R-per-column count identified the BA at 14 of 24 rows, and you connected that to the Lab 16 storming diagnosis as a structural cause rather than a behavioural one.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challenged every C with the question "would their input change the work?" and you demoted at least one C to I with a stated reason.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resource histogram has an explicit capacity line and you stated the total demand (320 hours) against total capacity (288 hours) before choosing a remedy.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state, without looking it up, that levelling can change the critical path and extend the end date while smoothing works within float and cannot.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rejected levelling for Contoso on the specific ground that it pushes the G1 design baseline and therefore the critical path past the immovable 30 June date in constraint CON-1.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