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15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RACI Responsibility Assignment Matrix and Resource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LO2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4 - Lead the Project Team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raci matrix, resource plan, raci issues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11 WBS work packages and WBS dictionary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08 team charter and named team members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07 stakeholder register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Assemble the inputs. A RACI is derived, not invented. Confirm you have each input before you draw a single letter.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Draft the matrix (this draft contains deliberate defects). Below is the first-draft RACI as a real project team would produce it in a 40-minute workshop. It covers 20 rows drawn from the Lab 11 WBS plus four cross-cutting process rows. It contains five structural defects. Do not fix them yet - Step 3 is the audit.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Enter it in the live RACI tool. Open RACI Matrix and build the matrix so the tool can run the structural checks for you.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Audit the matrix and find the five defects. This is the real learning in this lab. A RACI is only worth building if you then interrogate it. Run the five checks in order.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Before and after, in numbers. The audit must produce a measurable change, or it was a discussion rather than an audit.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resource plan and histogram. Create artifacts/15-resource-plan.md. The RACI says who; the resource plan says how much and when.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Level or smooth: the distinction the exam tests. Now work both remedies against the real BA over-allocation.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Connect the RACI to the communication plan. Every C and every I in the matrix is a promise to communicate. Lab 18 has to schedule and staff those promises, so count them now.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Assemble the inputs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Draft the matrix (this draft contains deliberate defects)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Enter it in the live RACI tool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Audit the matrix and find the five defects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Before and after, in numbers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Build the resource plan and histogram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Level or smooth: the distinction the exam tests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Connect the RACI to the communication plan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9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15-raci-matrix.md - the corrected 25-row by 12-column matrix, with every row tracing to a Lab 11 WBS code or a named cross-cutting process, plus your export or screenshot from the RACI Matrix tool.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row-level counts of A, R and C, and the column-level counts of R, proving each rule is satisfied.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15-raci-issues.md - the five defects in the defect table format, each with the row or column, why it matters, the fix applied, and the downstream lab affected.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before-and-after metric table showing the BA falling from 14 R to 9 R and every row holding exactly one A.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15-resource-plan.md - the BA resource histogram for weeks 3 to 10 with the 36-hour capacity line, the utilisation percentages, and the total-demand-versus-total-capacity arithmetic.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Both remedies worked: the levelling option with its critical-path consequence and the reason it is rejected, and the smoothing option with its residual over-allocation honestly stated.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combined recommendation and the demonstration that the RACI fix, not the scheduling technique, is what closes the gap.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 and I counts, with the Lab 18 channel named for each grouping.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