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16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Tuckman Diagnosis, Motivation Theory and Leadership 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LO3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Tuckman Diagnosis, Motivation Theory and Leadership Style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Tuckman diagnosis cites specific observed behaviours and never uses elapsed time as evidence.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state why the team is storming rather than norming in one sentence, and it refers to who enforces the ground rules.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structural causes are things the PM owns. If your causes list says "Rajesh is difficult" or "Farah is disorganised", redo it - you have diagnosed people where the evidence points at process and capacity.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None of your leader actions has the PM deciding the architecture or overruling the definition of done.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Herzberg example predicts that the pay rise produces approximately no change, and names at least three motivators that would.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Vroom calculations are multiplicative, and you have demonstrated numerically that fixing the wrong factor barely moves the score.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At least one team member appears at two different situational-leadership levels for two different tasks, and you can explain why one style per person is wrong.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servant-leadership section names what the leader DOES. If your description of servant leadership would also describe a leader who did nothing, rewrite it.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Tuckman diagnosis cites specific observed behaviours and never uses elapsed time as evidence.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