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18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Communication Plan, Channels and Status Reporting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LO4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Communication Plan, Channels and Status Reporting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channel figures are 36 for N=9 and 78 for N=13, and you stated the +44% versus +117% comparison explicitly.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derived a management implication from the formula rather than just computing it. If your notes end at "78 channels", you have done the arithmetic and missed the point.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row of your communication plan has a feedback loop that would let you detect a message failing to land. Rows saying "email sent" have no feedback loop.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Resistant or anxious stakeholder in your plan (S-05, S-06, S-08, S-16) receives an interactive element.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computed CV% = -22,000 / 249,000 = -8.8% and identified the Lab 03 threshold breach yourself, and your board report states that escalation is mandatory within 5 working days rather than treating it as a judgement call.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three status reports are all traceable to the same four figures - BAC 480,000, PV 268,000, EV 249,000, AC 271,000 - and none of them softens, omits or rounds favourably.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sponsor one-pager contains no acronyms, translates CPI into money, and asks for a specific decision by a specific date.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team report contains blockers and WIP and does not contain EAC. Reporting a forecast at completion to a standup is altitude failure in the other direction.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Your channel figures are 36 for N=9 and 78 for N=13, and you stated the +44% versus +117% comparison explicitly.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