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78"/>
      </w:tblGrid>
      <w:tr>
        <w:tc>
          <w:tcPr>
            <w:tcW w:type="dxa" w:w="9678"/>
            <w:shd w:val="clear" w:fill="1F6FEB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Tertiary Infotech Academy Pte Ltd</w:t>
            </w:r>
          </w:p>
        </w:tc>
      </w:tr>
    </w:tbl>
    <w:p>
      <w:pPr>
        <w:spacing w:after="40" w:before="0"/>
      </w:pPr>
      <w:r>
        <w:rPr>
          <w:rFonts w:ascii="Arial" w:hAnsi="Arial"/>
          <w:b/>
          <w:i w:val="0"/>
          <w:color w:val="1F6FEB"/>
          <w:sz w:val="24"/>
        </w:rPr>
        <w:t>ACTIVITY 18 — FACILITATOR GUIDE</w:t>
      </w:r>
    </w:p>
    <w:p>
      <w:pPr>
        <w:spacing w:after="40" w:before="0"/>
      </w:pPr>
      <w:r>
        <w:rPr>
          <w:rFonts w:ascii="Arial" w:hAnsi="Arial"/>
          <w:b/>
          <w:i w:val="0"/>
          <w:color w:val="111827"/>
          <w:sz w:val="30"/>
        </w:rPr>
        <w:t>Communication Plan, Channels and Status Reporting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19"/>
        <w:gridCol w:w="2419"/>
        <w:gridCol w:w="2419"/>
        <w:gridCol w:w="2419"/>
      </w:tblGrid>
      <w:tr>
        <w:tc>
          <w:tcPr>
            <w:tcW w:type="dxa" w:w="241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5"/>
              </w:rPr>
              <w:t>TYPE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color w:val="1F6FEB"/>
                <w:sz w:val="15"/>
              </w:rPr>
              <w:t>Workshop</w:t>
            </w:r>
          </w:p>
        </w:tc>
        <w:tc>
          <w:tcPr>
            <w:tcW w:type="dxa" w:w="241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5"/>
              </w:rPr>
              <w:t>DURATION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color w:val="1F6FEB"/>
                <w:sz w:val="15"/>
              </w:rPr>
              <w:t>75 minutes</w:t>
            </w:r>
          </w:p>
        </w:tc>
        <w:tc>
          <w:tcPr>
            <w:tcW w:type="dxa" w:w="241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5"/>
              </w:rPr>
              <w:t>MAPS TO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color w:val="1F6FEB"/>
                <w:sz w:val="15"/>
              </w:rPr>
              <w:t>LO4</w:t>
            </w:r>
          </w:p>
        </w:tc>
        <w:tc>
          <w:tcPr>
            <w:tcW w:type="dxa" w:w="241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5"/>
              </w:rPr>
              <w:t>TOPIC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color w:val="1F6FEB"/>
                <w:sz w:val="15"/>
              </w:rPr>
              <w:t>4 - Lead the Project Team</w:t>
            </w:r>
          </w:p>
        </w:tc>
      </w:tr>
    </w:tbl>
    <w:p>
      <w:pPr>
        <w:spacing w:after="40" w:before="0"/>
      </w:pP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Purpose of this activity</w:t>
      </w:r>
    </w:p>
    <w:p>
      <w:pPr>
        <w:spacing w:after="120" w:before="0"/>
      </w:pPr>
      <w:r>
        <w:rPr>
          <w:rFonts w:ascii="Arial" w:hAnsi="Arial"/>
          <w:b w:val="0"/>
          <w:i w:val="0"/>
          <w:color w:val="111827"/>
          <w:sz w:val="21"/>
        </w:rPr>
        <w:t>By the end of this activity learners will be able to compute communication channels with N(N-1)/2 and derive the management implication of superlinear growth.</w:t>
      </w: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What learners produce</w:t>
      </w:r>
    </w:p>
    <w:p>
      <w:pPr>
        <w:spacing w:after="120" w:before="0"/>
      </w:pPr>
      <w:r>
        <w:rPr>
          <w:rFonts w:ascii="Arial" w:hAnsi="Arial"/>
          <w:b w:val="0"/>
          <w:i w:val="0"/>
          <w:color w:val="111827"/>
          <w:sz w:val="21"/>
        </w:rPr>
        <w:t>communication plan, status reports — submitted to artifacts/.</w:t>
      </w: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Materials required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Learner Worksheet (one per learner)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Checklist (one per group)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The Project Management Templates pack (see the Activities folder)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Flipchart or A3 sheet and markers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The course slides for the framework and worked example</w:t>
      </w: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Set-up</w:t>
      </w:r>
    </w:p>
    <w:p>
      <w:pPr>
        <w:spacing w:after="120" w:before="0"/>
      </w:pPr>
      <w:r>
        <w:rPr>
          <w:rFonts w:ascii="Arial" w:hAnsi="Arial"/>
          <w:b w:val="0"/>
          <w:i w:val="0"/>
          <w:color w:val="111827"/>
          <w:sz w:val="21"/>
        </w:rPr>
        <w:t>Groups of 3 to 4. Distribute one worksheet per learner and one checklist per group; each group needs one laptop for the calculations.</w:t>
      </w: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Scenario / briefing material</w:t>
      </w:r>
    </w:p>
    <w:p>
      <w:pPr>
        <w:spacing w:after="120" w:before="0"/>
      </w:pPr>
      <w:r>
        <w:rPr>
          <w:rFonts w:ascii="Arial" w:hAnsi="Arial"/>
          <w:b w:val="0"/>
          <w:i w:val="0"/>
          <w:color w:val="111827"/>
          <w:sz w:val="21"/>
        </w:rPr>
        <w:t>Contoso Learning Pte Ltd is a training provider with 14,000 active learners. Its course registration portal is 9 years old. Registration takes a median of 11 minutes and 34% of attempts are abandoned. Learner communications consume 24 staff-hours per week across 3 administrators. 62% of learner traffic is mobile, against a portal that is not responsive. Legacy consent screens do not meet current PDPA requirements. The project modernises course registration and learner communications.</w:t>
      </w: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How to run it — step by step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576"/>
        <w:gridCol w:w="4752"/>
        <w:gridCol w:w="3888"/>
      </w:tblGrid>
      <w:tr>
        <w:tc>
          <w:tcPr>
            <w:tcW w:type="dxa" w:w="3226"/>
            <w:shd w:val="clear" w:fill="1F6FEB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#</w:t>
            </w:r>
          </w:p>
        </w:tc>
        <w:tc>
          <w:tcPr>
            <w:tcW w:type="dxa" w:w="3226"/>
            <w:shd w:val="clear" w:fill="1F6FEB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Instruction to learners</w:t>
            </w:r>
          </w:p>
        </w:tc>
        <w:tc>
          <w:tcPr>
            <w:tcW w:type="dxa" w:w="3226"/>
            <w:shd w:val="clear" w:fill="1F6FEB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Facilitator note</w:t>
            </w:r>
          </w:p>
        </w:tc>
      </w:tr>
      <w:tr>
        <w:tc>
          <w:tcPr>
            <w:tcW w:type="dxa" w:w="57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1</w:t>
            </w:r>
          </w:p>
        </w:tc>
        <w:tc>
          <w:tcPr>
            <w:tcW w:type="dxa" w:w="475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Compute the communication channels. The last row is the number that should change your behaviour. There are 153 potential channels across the stakeholder set. Nobody can service 153 channels. A communication plan is not administrative tidiness; it is the decision about which of the 153 you will actually maintain and at what frequency.</w:t>
            </w:r>
          </w:p>
        </w:tc>
        <w:tc>
          <w:tcPr>
            <w:tcW w:type="dxa" w:w="388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Check the arithmetic on one group's numbers before moving on — a wrong sign propagates into every later step.</w:t>
            </w:r>
          </w:p>
        </w:tc>
      </w:tr>
      <w:tr>
        <w:tc>
          <w:tcPr>
            <w:tcW w:type="dxa" w:w="57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2</w:t>
            </w:r>
          </w:p>
        </w:tc>
        <w:tc>
          <w:tcPr>
            <w:tcW w:type="dxa" w:w="475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Choose push, pull or interactive for each stakeholder</w:t>
            </w:r>
          </w:p>
        </w:tc>
        <w:tc>
          <w:tcPr>
            <w:tcW w:type="dxa" w:w="388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If the room agrees too quickly, take the quietest role aside and give them one more constraint.</w:t>
            </w:r>
          </w:p>
        </w:tc>
      </w:tr>
      <w:tr>
        <w:tc>
          <w:tcPr>
            <w:tcW w:type="dxa" w:w="57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3</w:t>
            </w:r>
          </w:p>
        </w:tc>
        <w:tc>
          <w:tcPr>
            <w:tcW w:type="dxa" w:w="475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Place communications in the formal/informal by written/verbal grid</w:t>
            </w:r>
          </w:p>
        </w:tc>
        <w:tc>
          <w:tcPr>
            <w:tcW w:type="dxa" w:w="388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Debrief on what was conceded and why — the trade, not the outcome, is the learning.</w:t>
            </w:r>
          </w:p>
        </w:tc>
      </w:tr>
      <w:tr>
        <w:tc>
          <w:tcPr>
            <w:tcW w:type="dxa" w:w="57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4</w:t>
            </w:r>
          </w:p>
        </w:tc>
        <w:tc>
          <w:tcPr>
            <w:tcW w:type="dxa" w:w="475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Build the communication plan with feedback loops. The ECO People T8 enabler is "establish a feedback loop". A row with no feedback mechanism is a broadcast, and a broadcast tells you nothing about whether the message arrived. Complete every column.</w:t>
            </w:r>
          </w:p>
        </w:tc>
        <w:tc>
          <w:tcPr>
            <w:tcW w:type="dxa" w:w="388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Check the arithmetic on one group's numbers before moving on — a wrong sign propagates into every later step.</w:t>
            </w:r>
          </w:p>
        </w:tc>
      </w:tr>
      <w:tr>
        <w:tc>
          <w:tcPr>
            <w:tcW w:type="dxa" w:w="57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5</w:t>
            </w:r>
          </w:p>
        </w:tc>
        <w:tc>
          <w:tcPr>
            <w:tcW w:type="dxa" w:w="475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Trace the communication model and name the noise</w:t>
            </w:r>
          </w:p>
        </w:tc>
        <w:tc>
          <w:tcPr>
            <w:tcW w:type="dxa" w:w="388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Make a group state the UNITS and the base date. Most errors here are unit errors, not maths errors.</w:t>
            </w:r>
          </w:p>
        </w:tc>
      </w:tr>
      <w:tr>
        <w:tc>
          <w:tcPr>
            <w:tcW w:type="dxa" w:w="57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6</w:t>
            </w:r>
          </w:p>
        </w:tc>
        <w:tc>
          <w:tcPr>
            <w:tcW w:type="dxa" w:w="475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The week-14 status data. Create artifacts/18-status-reports.md. One set of facts follows. All three reports in Step 7 must be traceable to it. Tailoring means changing the encoding for the audience; it does not mean changing the numbers.</w:t>
            </w:r>
          </w:p>
        </w:tc>
        <w:tc>
          <w:tcPr>
            <w:tcW w:type="dxa" w:w="388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Ask what the number would have to be before the decision flips. That is the exam's favourite question.</w:t>
            </w:r>
          </w:p>
        </w:tc>
      </w:tr>
      <w:tr>
        <w:tc>
          <w:tcPr>
            <w:tcW w:type="dxa" w:w="57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7</w:t>
            </w:r>
          </w:p>
        </w:tc>
        <w:tc>
          <w:tcPr>
            <w:tcW w:type="dxa" w:w="475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Write the same status three ways. Same data, three audiences, three encodings. Write all three into artifacts/18-status-reports.md.</w:t>
            </w:r>
          </w:p>
        </w:tc>
        <w:tc>
          <w:tcPr>
            <w:tcW w:type="dxa" w:w="388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Check the arithmetic on one group's numbers before moving on — a wrong sign propagates into every later step.</w:t>
            </w:r>
          </w:p>
        </w:tc>
      </w:tr>
      <w:tr>
        <w:tc>
          <w:tcPr>
            <w:tcW w:type="dxa" w:w="57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8</w:t>
            </w:r>
          </w:p>
        </w:tc>
        <w:tc>
          <w:tcPr>
            <w:tcW w:type="dxa" w:w="475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Compare a bad status report with a good one. The difference between the two is not length; the good version is shorter. It is that every sentence carries a number, a threshold, a cause, a trend or a decision. Read your own draft sentence by sentence and delete anything that carries none of the five.</w:t>
            </w:r>
          </w:p>
        </w:tc>
        <w:tc>
          <w:tcPr>
            <w:tcW w:type="dxa" w:w="388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Make a group state the UNITS and the base date. Most errors here are unit errors, not maths errors.</w:t>
            </w:r>
          </w:p>
        </w:tc>
      </w:tr>
      <w:tr>
        <w:tc>
          <w:tcPr>
            <w:tcW w:type="dxa" w:w="57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9</w:t>
            </w:r>
          </w:p>
        </w:tc>
        <w:tc>
          <w:tcPr>
            <w:tcW w:type="dxa" w:w="475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Answer the exam-style scenarios</w:t>
            </w:r>
          </w:p>
        </w:tc>
        <w:tc>
          <w:tcPr>
            <w:tcW w:type="dxa" w:w="388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Ask what the number would have to be before the decision flips. That is the exam's favourite question.</w:t>
            </w:r>
          </w:p>
        </w:tc>
      </w:tr>
    </w:tbl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Suggested timing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1296"/>
        <w:gridCol w:w="7776"/>
      </w:tblGrid>
      <w:tr>
        <w:tc>
          <w:tcPr>
            <w:tcW w:type="dxa" w:w="4839"/>
            <w:shd w:val="clear" w:fill="1F6FEB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Minutes</w:t>
            </w:r>
          </w:p>
        </w:tc>
        <w:tc>
          <w:tcPr>
            <w:tcW w:type="dxa" w:w="4839"/>
            <w:shd w:val="clear" w:fill="1F6FEB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Phase</w:t>
            </w:r>
          </w:p>
        </w:tc>
      </w:tr>
      <w:tr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8 min</w:t>
            </w:r>
          </w:p>
        </w:tc>
        <w:tc>
          <w:tcPr>
            <w:tcW w:type="dxa" w:w="777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Brief the scenario, confirm the inputs and assign roles</w:t>
            </w:r>
          </w:p>
        </w:tc>
      </w:tr>
      <w:tr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28 min</w:t>
            </w:r>
          </w:p>
        </w:tc>
        <w:tc>
          <w:tcPr>
            <w:tcW w:type="dxa" w:w="777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Work the first half of the steps individually, then pool as a group</w:t>
            </w:r>
          </w:p>
        </w:tc>
      </w:tr>
      <w:tr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28 min</w:t>
            </w:r>
          </w:p>
        </w:tc>
        <w:tc>
          <w:tcPr>
            <w:tcW w:type="dxa" w:w="777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Complete the remaining steps and finalise the deliverable</w:t>
            </w:r>
          </w:p>
        </w:tc>
      </w:tr>
      <w:tr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11 min</w:t>
            </w:r>
          </w:p>
        </w:tc>
        <w:tc>
          <w:tcPr>
            <w:tcW w:type="dxa" w:w="777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Group share-back, facilitator debrief and exam-style linkage</w:t>
            </w:r>
          </w:p>
        </w:tc>
      </w:tr>
    </w:tbl>
    <w:p>
      <w:pPr>
        <w:spacing w:after="120" w:before="120"/>
      </w:pPr>
      <w:r>
        <w:rPr>
          <w:rFonts w:ascii="Arial" w:hAnsi="Arial"/>
          <w:b/>
          <w:i w:val="0"/>
          <w:color w:val="111827"/>
          <w:sz w:val="21"/>
        </w:rPr>
        <w:t>Total: 75 minutes</w:t>
      </w: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Discussion &amp; decision prompts</w:t>
      </w:r>
    </w:p>
    <w:p>
      <w:pPr>
        <w:pStyle w:val="ListNumber"/>
        <w:spacing w:after="60" w:before="0"/>
      </w:pPr>
      <w:r>
        <w:rPr>
          <w:rFonts w:ascii="Arial" w:hAnsi="Arial"/>
          <w:b w:val="0"/>
          <w:i w:val="0"/>
          <w:color w:val="111827"/>
          <w:sz w:val="21"/>
        </w:rPr>
        <w:t>Compute communication channels with N(N-1)/2 and derive the management implication of superlinear growth — how did your group decide, and what would change that decision?</w:t>
      </w:r>
    </w:p>
    <w:p>
      <w:pPr>
        <w:pStyle w:val="ListNumber"/>
        <w:spacing w:after="60" w:before="0"/>
      </w:pPr>
      <w:r>
        <w:rPr>
          <w:rFonts w:ascii="Arial" w:hAnsi="Arial"/>
          <w:b w:val="0"/>
          <w:i w:val="0"/>
          <w:color w:val="111827"/>
          <w:sz w:val="21"/>
        </w:rPr>
        <w:t>Choose push, pull or interactive communication for each stakeholder and justify the choice — how did your group decide, and what would change that decision?</w:t>
      </w:r>
    </w:p>
    <w:p>
      <w:pPr>
        <w:pStyle w:val="ListNumber"/>
        <w:spacing w:after="60" w:before="0"/>
      </w:pPr>
      <w:r>
        <w:rPr>
          <w:rFonts w:ascii="Arial" w:hAnsi="Arial"/>
          <w:b w:val="0"/>
          <w:i w:val="0"/>
          <w:color w:val="111827"/>
          <w:sz w:val="21"/>
        </w:rPr>
        <w:t>Place Contoso communications correctly in the formal/informal by written/verbal grid — how did your group decide, and what would change that decision?</w:t>
      </w:r>
    </w:p>
    <w:p>
      <w:pPr>
        <w:pStyle w:val="ListNumber"/>
        <w:spacing w:after="60" w:before="0"/>
      </w:pPr>
      <w:r>
        <w:rPr>
          <w:rFonts w:ascii="Arial" w:hAnsi="Arial"/>
          <w:b w:val="0"/>
          <w:i w:val="0"/>
          <w:color w:val="111827"/>
          <w:sz w:val="21"/>
        </w:rPr>
        <w:t>Your channel figures are 36 for N=9 and 78 for N=13, and you stated the +44% versus +117% comparison explicitly — can every member of your group defend it?</w:t>
      </w:r>
    </w:p>
    <w:p>
      <w:pPr>
        <w:pStyle w:val="ListNumber"/>
        <w:spacing w:after="60" w:before="0"/>
      </w:pPr>
      <w:r>
        <w:rPr>
          <w:rFonts w:ascii="Arial" w:hAnsi="Arial"/>
          <w:b w:val="0"/>
          <w:i w:val="0"/>
          <w:color w:val="111827"/>
          <w:sz w:val="21"/>
        </w:rPr>
        <w:t>Where would communication plan, channels and status reporting have saved you time or money on a real project you have worked on?</w:t>
      </w: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What good looks like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Your channel figures are 36 for N=9 and 78 for N=13, and you stated the +44% versus +117% comparison explicitly.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You derived a management implication from the formula rather than just computing it. If your notes end at "78 channels", you have done the arithmetic and missed the point.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Every row of your communication plan has a feedback loop that would let you detect a message failing to land. Rows saying "email sent" have no feedback loop.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Every Resistant or anxious stakeholder in your plan (S-05, S-06, S-08, S-16) receives an interactive element.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You computed CV% = -22,000 / 249,000 = -8.8% and identified the Lab 03 threshold breach yourself, and your board report states that escalation is mandatory within 5 working days rather than treating it as a judgement call.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Your three status reports are all traceable to the same four figures - BAC 480,000, PV 268,000, EV 249,000, AC 271,000 - and none of them softens, omits or rounds favourably.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Your sponsor one-pager contains no acronyms, translates CPI into money, and asks for a specific decision by a specific date.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Your team report contains blockers and WIP and does not contain EAC. Reporting a forecast at completion to a standup is altitude failure in the other direction.</w:t>
      </w:r>
    </w:p>
    <w:p>
      <w:pPr>
        <w:spacing w:after="120" w:before="320"/>
        <w:jc w:val="center"/>
      </w:pPr>
      <w:r>
        <w:rPr>
          <w:rFonts w:ascii="Arial" w:hAnsi="Arial"/>
          <w:b w:val="0"/>
          <w:i w:val="0"/>
          <w:color w:val="555F6D"/>
          <w:sz w:val="15"/>
        </w:rPr>
        <w:t>Project Management Masterclass · C523 · Version v3.0 · © 2026 Tertiary Infotech Academy Pte Ltd</w:t>
      </w:r>
    </w:p>
    <w:sectPr w:rsidR="00FC693F" w:rsidRPr="0006063C" w:rsidSect="00034616">
      <w:pgSz w:w="12240" w:h="15840"/>
      <w:pgMar w:top="1134" w:right="1281" w:bottom="1134" w:left="12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