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18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Communication Plan, Channels and Status Reporting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LO4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4 - Lead the Project Team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communication plan, status reports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07 stakeholder register, engagement matrix and engagement cadence table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03 governance model and escalation thresholds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Compute the communication channels. The last row is the number that should change your behaviour. There are 153 potential channels across the stakeholder set. Nobody can service 153 channels. A communication plan is not administrative tidiness; it is the decision about which of the 153 you will actually maintain and at what frequency.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Choose push, pull or interactive for each stakeholder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Place communications in the formal/informal by written/verbal grid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communication plan with feedback loops. The ECO People T8 enabler is "establish a feedback loop". A row with no feedback mechanism is a broadcast, and a broadcast tells you nothing about whether the message arrived. Complete every column.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Trace the communication model and name the noise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The week-14 status data. Create artifacts/18-status-reports.md. One set of facts follows. All three reports in Step 7 must be traceable to it. Tailoring means changing the encoding for the audience; it does not mean changing the numbers.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Write the same status three ways. Same data, three audiences, three encodings. Write all three into artifacts/18-status-reports.md.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Compare a bad status report with a good one. The difference between the two is not length; the good version is shorter. It is that every sentence carries a number, a threshold, a cause, a trend or a decision. Read your own draft sentence by sentence and delete anything that carries none of the five.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Compute the communication channels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Choose push, pull or interactive for each stakeholder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Place communications in the formal/informal by written/verbal grid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Build the communication plan with feedback loops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Trace the communication model and name the noise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The week-14 status data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Write the same status three ways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8 — Compare a bad status report with a good one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9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18-communication-plan.md - the channels table with at least eight computed cases including the 9-to-13 growth comparison showing +44% people against +117% channels; the five written management implications; the push/pull/interactive assignment for at least twelve stakeholders with a justification each; the completed formal/informal by written/verbal grid with at least two Contoso examples per cell; the full communication plan table with all seven columns populated for at least fourteen rows, every one with a named feedback loop; the communication model with at least eight Contoso noise sources, each with a stage, a consequence and a control.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18-status-reports.md - the week-14 underlying data; your own threshold test showing CV% = -8.8% against the -5% threshold and stating that escalation is mandatory within 5 working days; the three tailored status reports; the comparison table showing what changed and what did not; the bad-versus-good report comparison with at least six named defects.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