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20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Earned Value Management and Schedule Compression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5 - Monitor and Control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Earned Value Management and Schedule Compression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cumulative PV at period 12 equals SGD 480,000 exactly. If it does not, stop - every forecast downstream is invalid.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CV = -22,000 and SV = -19,000, both negative, and you described SV in dollars rather than days.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CPI = 0.919 and SPI = 0.929, and you carried CPI to at least four decimal places before computing EAC.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computed all three EAC variants and *chose* one with a stated reason drawn from the trend, rather than defaulting to the first formula you remembered.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TCPI of 1.105 is compared against your CPI of 0.919, and you concluded in writing that recovery to the original budget is not credible.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identified the seven-period monotonic CPI decline as systemic, not noise.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crash decision selected J and O for SGD 15,500, and you explicitly rejected activity F despite it being the cheapest per day - because it is not on the critical path.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rejected fast-tracking the compliance review and cited both the mandatory dependency and the SGD 26,000 historical rework cost.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cumulative PV at period 12 equals SGD 480,000 exactly. If it does not, stop - every forecast downstream is invalid.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