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78"/>
      </w:tblGrid>
      <w:tr>
        <w:tc>
          <w:tcPr>
            <w:tcW w:type="dxa" w:w="9678"/>
            <w:shd w:val="clear" w:fill="1F6FEB"/>
          </w:tcPr>
          <w:p>
            <w:pPr>
              <w:spacing w:after="0" w:before="0"/>
              <w:jc w:val="center"/>
            </w:pPr>
            <w:r/>
            <w:r>
              <w:rPr>
                <w:rFonts w:ascii="Arial" w:hAnsi="Arial"/>
                <w:b/>
                <w:color w:val="FFFFFF"/>
                <w:sz w:val="20"/>
              </w:rPr>
              <w:t>Tertiary Infotech Academy Pte Ltd</w:t>
            </w:r>
          </w:p>
        </w:tc>
      </w:tr>
    </w:tbl>
    <w:p>
      <w:pPr>
        <w:spacing w:after="40" w:before="0"/>
      </w:pPr>
      <w:r>
        <w:rPr>
          <w:rFonts w:ascii="Arial" w:hAnsi="Arial"/>
          <w:b/>
          <w:i w:val="0"/>
          <w:color w:val="1F6FEB"/>
          <w:sz w:val="24"/>
        </w:rPr>
        <w:t>ACTIVITY 22 — CHECKLIST</w:t>
      </w:r>
    </w:p>
    <w:p>
      <w:pPr>
        <w:spacing w:after="40" w:before="0"/>
      </w:pPr>
      <w:r>
        <w:rPr>
          <w:rFonts w:ascii="Arial" w:hAnsi="Arial"/>
          <w:b/>
          <w:i w:val="0"/>
          <w:color w:val="111827"/>
          <w:sz w:val="30"/>
        </w:rPr>
        <w:t>SPC Control Chart and Statistical Process Analysis</w:t>
      </w:r>
    </w:p>
    <w:tbl>
      <w:tblPr>
        <w:tblW w:type="auto" w:w="0"/>
        <w:jc w:val="center"/>
        <w:tblLook w:firstColumn="1" w:firstRow="1" w:lastColumn="0" w:lastRow="0" w:noHBand="0" w:noVBand="1" w:val="04A0"/>
      </w:tblPr>
      <w:tblGrid>
        <w:gridCol w:w="2419"/>
        <w:gridCol w:w="2419"/>
        <w:gridCol w:w="2419"/>
        <w:gridCol w:w="2419"/>
      </w:tblGrid>
      <w:tr>
        <w:tc>
          <w:tcPr>
            <w:tcW w:type="dxa" w:w="2419"/>
            <w:shd w:val="clear" w:fill="F5F8FC"/>
          </w:tcPr>
          <w:p>
            <w:pPr>
              <w:spacing w:after="0" w:before="0"/>
            </w:pPr>
            <w:r/>
            <w:r>
              <w:rPr>
                <w:rFonts w:ascii="Arial" w:hAnsi="Arial"/>
                <w:b/>
                <w:color w:val="1F6FEB"/>
                <w:sz w:val="15"/>
              </w:rPr>
              <w:t>TYPE</w:t>
            </w:r>
          </w:p>
          <w:p>
            <w:pPr>
              <w:spacing w:after="0" w:before="0"/>
            </w:pPr>
            <w:r>
              <w:rPr>
                <w:rFonts w:ascii="Arial" w:hAnsi="Arial"/>
                <w:b w:val="0"/>
                <w:color w:val="1F6FEB"/>
                <w:sz w:val="15"/>
              </w:rPr>
              <w:t>Workshop</w:t>
            </w:r>
          </w:p>
        </w:tc>
        <w:tc>
          <w:tcPr>
            <w:tcW w:type="dxa" w:w="2419"/>
            <w:shd w:val="clear" w:fill="F5F8FC"/>
          </w:tcPr>
          <w:p>
            <w:pPr>
              <w:spacing w:after="0" w:before="0"/>
            </w:pPr>
            <w:r/>
            <w:r>
              <w:rPr>
                <w:rFonts w:ascii="Arial" w:hAnsi="Arial"/>
                <w:b/>
                <w:color w:val="1F6FEB"/>
                <w:sz w:val="15"/>
              </w:rPr>
              <w:t>DURATION</w:t>
            </w:r>
          </w:p>
          <w:p>
            <w:pPr>
              <w:spacing w:after="0" w:before="0"/>
            </w:pPr>
            <w:r>
              <w:rPr>
                <w:rFonts w:ascii="Arial" w:hAnsi="Arial"/>
                <w:b w:val="0"/>
                <w:color w:val="1F6FEB"/>
                <w:sz w:val="15"/>
              </w:rPr>
              <w:t>60 minutes</w:t>
            </w:r>
          </w:p>
        </w:tc>
        <w:tc>
          <w:tcPr>
            <w:tcW w:type="dxa" w:w="2419"/>
            <w:shd w:val="clear" w:fill="F5F8FC"/>
          </w:tcPr>
          <w:p>
            <w:pPr>
              <w:spacing w:after="0" w:before="0"/>
            </w:pPr>
            <w:r/>
            <w:r>
              <w:rPr>
                <w:rFonts w:ascii="Arial" w:hAnsi="Arial"/>
                <w:b/>
                <w:color w:val="1F6FEB"/>
                <w:sz w:val="15"/>
              </w:rPr>
              <w:t>MAPS TO</w:t>
            </w:r>
          </w:p>
          <w:p>
            <w:pPr>
              <w:spacing w:after="0" w:before="0"/>
            </w:pPr>
            <w:r>
              <w:rPr>
                <w:rFonts w:ascii="Arial" w:hAnsi="Arial"/>
                <w:b w:val="0"/>
                <w:color w:val="1F6FEB"/>
                <w:sz w:val="15"/>
              </w:rPr>
              <w:t>LO5</w:t>
            </w:r>
          </w:p>
        </w:tc>
        <w:tc>
          <w:tcPr>
            <w:tcW w:type="dxa" w:w="2419"/>
            <w:shd w:val="clear" w:fill="F5F8FC"/>
          </w:tcPr>
          <w:p>
            <w:pPr>
              <w:spacing w:after="0" w:before="0"/>
            </w:pPr>
            <w:r/>
            <w:r>
              <w:rPr>
                <w:rFonts w:ascii="Arial" w:hAnsi="Arial"/>
                <w:b/>
                <w:color w:val="1F6FEB"/>
                <w:sz w:val="15"/>
              </w:rPr>
              <w:t>TOPIC</w:t>
            </w:r>
          </w:p>
          <w:p>
            <w:pPr>
              <w:spacing w:after="0" w:before="0"/>
            </w:pPr>
            <w:r>
              <w:rPr>
                <w:rFonts w:ascii="Arial" w:hAnsi="Arial"/>
                <w:b w:val="0"/>
                <w:color w:val="1F6FEB"/>
                <w:sz w:val="15"/>
              </w:rPr>
              <w:t>5 - Monitor and Control the Project</w:t>
            </w:r>
          </w:p>
        </w:tc>
      </w:tr>
    </w:tbl>
    <w:p>
      <w:pPr>
        <w:spacing w:after="40" w:before="0"/>
      </w:pPr>
    </w:p>
    <w:tbl>
      <w:tblPr>
        <w:tblW w:type="auto" w:w="0"/>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584"/>
        <w:gridCol w:w="7488"/>
      </w:tblGrid>
      <w:tr>
        <w:tc>
          <w:tcPr>
            <w:tcW w:type="dxa" w:w="4839"/>
            <w:shd w:val="clear" w:fill="F5F8FC"/>
          </w:tcPr>
          <w:p>
            <w:pPr>
              <w:spacing w:after="0" w:before="0"/>
            </w:pPr>
            <w:r/>
            <w:r>
              <w:rPr>
                <w:rFonts w:ascii="Arial" w:hAnsi="Arial"/>
                <w:b/>
                <w:color w:val="1F6FEB"/>
                <w:sz w:val="19"/>
              </w:rPr>
              <w:t>Name</w:t>
            </w:r>
          </w:p>
        </w:tc>
        <w:tc>
          <w:tcPr>
            <w:tcW w:type="dxa" w:w="4839"/>
          </w:tcPr>
          <w:p>
            <w:pPr>
              <w:spacing w:after="0" w:before="0"/>
            </w:pPr>
            <w:r/>
            <w:r>
              <w:rPr>
                <w:rFonts w:ascii="Arial" w:hAnsi="Arial"/>
                <w:b w:val="0"/>
                <w:color w:val="111827"/>
                <w:sz w:val="19"/>
              </w:rPr>
            </w:r>
          </w:p>
        </w:tc>
      </w:tr>
      <w:tr>
        <w:tc>
          <w:tcPr>
            <w:tcW w:type="dxa" w:w="4839"/>
            <w:shd w:val="clear" w:fill="F5F8FC"/>
          </w:tcPr>
          <w:p>
            <w:pPr>
              <w:spacing w:after="0" w:before="0"/>
            </w:pPr>
            <w:r/>
            <w:r>
              <w:rPr>
                <w:rFonts w:ascii="Arial" w:hAnsi="Arial"/>
                <w:b/>
                <w:color w:val="1F6FEB"/>
                <w:sz w:val="19"/>
              </w:rPr>
              <w:t>Date</w:t>
            </w:r>
          </w:p>
        </w:tc>
        <w:tc>
          <w:tcPr>
            <w:tcW w:type="dxa" w:w="4839"/>
          </w:tcPr>
          <w:p>
            <w:pPr>
              <w:spacing w:after="0" w:before="0"/>
            </w:pPr>
            <w:r/>
            <w:r>
              <w:rPr>
                <w:rFonts w:ascii="Arial" w:hAnsi="Arial"/>
                <w:b w:val="0"/>
                <w:color w:val="111827"/>
                <w:sz w:val="19"/>
              </w:rPr>
            </w:r>
          </w:p>
        </w:tc>
      </w:tr>
    </w:tbl>
    <w:p>
      <w:pPr>
        <w:spacing w:before="280" w:after="100"/>
      </w:pPr>
      <w:r>
        <w:rPr>
          <w:rFonts w:ascii="Arial" w:hAnsi="Arial"/>
          <w:b/>
          <w:color w:val="111827"/>
          <w:sz w:val="26"/>
        </w:rPr>
        <w:t>Self-check — SPC Control Chart and Statistical Process Analysis</w:t>
      </w:r>
    </w:p>
    <w:p>
      <w:pPr>
        <w:spacing w:after="160" w:before="0"/>
      </w:pPr>
      <w:r>
        <w:rPr>
          <w:rFonts w:ascii="Arial" w:hAnsi="Arial"/>
          <w:b w:val="0"/>
          <w:i w:val="0"/>
          <w:color w:val="555F6D"/>
          <w:sz w:val="21"/>
        </w:rPr>
        <w:t>Tick each item you have completed. Any blank is a gap to close before your group presents at the debrief.</w:t>
      </w:r>
    </w:p>
    <w:tbl>
      <w:tblPr>
        <w:tblW w:type="auto" w:w="0"/>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04"/>
        <w:gridCol w:w="5760"/>
        <w:gridCol w:w="2160"/>
        <w:gridCol w:w="648"/>
      </w:tblGrid>
      <w:tr>
        <w:tc>
          <w:tcPr>
            <w:tcW w:type="dxa" w:w="2419"/>
            <w:shd w:val="clear" w:fill="1F6FEB"/>
          </w:tcPr>
          <w:p>
            <w:pPr>
              <w:spacing w:after="0" w:before="0"/>
            </w:pPr>
            <w:r/>
            <w:r>
              <w:rPr>
                <w:rFonts w:ascii="Arial" w:hAnsi="Arial"/>
                <w:b/>
                <w:color w:val="FFFFFF"/>
                <w:sz w:val="18"/>
              </w:rPr>
              <w:t>#</w:t>
            </w:r>
          </w:p>
        </w:tc>
        <w:tc>
          <w:tcPr>
            <w:tcW w:type="dxa" w:w="2419"/>
            <w:shd w:val="clear" w:fill="1F6FEB"/>
          </w:tcPr>
          <w:p>
            <w:pPr>
              <w:spacing w:after="0" w:before="0"/>
            </w:pPr>
            <w:r/>
            <w:r>
              <w:rPr>
                <w:rFonts w:ascii="Arial" w:hAnsi="Arial"/>
                <w:b/>
                <w:color w:val="FFFFFF"/>
                <w:sz w:val="18"/>
              </w:rPr>
              <w:t>Criterion</w:t>
            </w:r>
          </w:p>
        </w:tc>
        <w:tc>
          <w:tcPr>
            <w:tcW w:type="dxa" w:w="2419"/>
            <w:shd w:val="clear" w:fill="1F6FEB"/>
          </w:tcPr>
          <w:p>
            <w:pPr>
              <w:spacing w:after="0" w:before="0"/>
            </w:pPr>
            <w:r/>
            <w:r>
              <w:rPr>
                <w:rFonts w:ascii="Arial" w:hAnsi="Arial"/>
                <w:b/>
                <w:color w:val="FFFFFF"/>
                <w:sz w:val="18"/>
              </w:rPr>
              <w:t>Evidences</w:t>
            </w:r>
          </w:p>
        </w:tc>
        <w:tc>
          <w:tcPr>
            <w:tcW w:type="dxa" w:w="2419"/>
            <w:shd w:val="clear" w:fill="1F6FEB"/>
          </w:tcPr>
          <w:p>
            <w:pPr>
              <w:spacing w:after="0" w:before="0"/>
            </w:pPr>
            <w:r/>
            <w:r>
              <w:rPr>
                <w:rFonts w:ascii="Arial" w:hAnsi="Arial"/>
                <w:b/>
                <w:color w:val="FFFFFF"/>
                <w:sz w:val="18"/>
              </w:rPr>
              <w:t>✓</w:t>
            </w:r>
          </w:p>
        </w:tc>
      </w:tr>
      <w:tr>
        <w:tc>
          <w:tcPr>
            <w:tcW w:type="dxa" w:w="504"/>
          </w:tcPr>
          <w:p>
            <w:pPr>
              <w:spacing w:after="0" w:before="0"/>
            </w:pPr>
            <w:r/>
            <w:r>
              <w:rPr>
                <w:rFonts w:ascii="Arial" w:hAnsi="Arial"/>
                <w:b/>
                <w:color w:val="1F6FEB"/>
                <w:sz w:val="18"/>
              </w:rPr>
              <w:t>1</w:t>
            </w:r>
          </w:p>
        </w:tc>
        <w:tc>
          <w:tcPr>
            <w:tcW w:type="dxa" w:w="5760"/>
          </w:tcPr>
          <w:p>
            <w:pPr>
              <w:spacing w:after="0" w:before="0"/>
            </w:pPr>
            <w:r/>
            <w:r>
              <w:rPr>
                <w:rFonts w:ascii="Arial" w:hAnsi="Arial"/>
                <w:b w:val="0"/>
                <w:color w:val="111827"/>
                <w:sz w:val="18"/>
              </w:rPr>
              <w:t>Your centre line is 4.053, MR-bar is 0.3286, sigma is 0.2913, and your limits are 3.179 and 4.927. If your limits are much wider, you computed them across all 20 points and have hidden the signal.</w:t>
            </w:r>
          </w:p>
        </w:tc>
        <w:tc>
          <w:tcPr>
            <w:tcW w:type="dxa" w:w="2160"/>
          </w:tcPr>
          <w:p>
            <w:pPr>
              <w:spacing w:after="0" w:before="0"/>
            </w:pPr>
            <w:r/>
            <w:r>
              <w:rPr>
                <w:rFonts w:ascii="Arial" w:hAnsi="Arial"/>
                <w:b w:val="0"/>
                <w:color w:val="555F6D"/>
                <w:sz w:val="18"/>
              </w:rPr>
              <w:t>LO5</w:t>
            </w:r>
          </w:p>
        </w:tc>
        <w:tc>
          <w:tcPr>
            <w:tcW w:type="dxa" w:w="648"/>
          </w:tcPr>
          <w:p>
            <w:pPr>
              <w:spacing w:after="0" w:before="0"/>
            </w:pPr>
            <w:r/>
            <w:r>
              <w:rPr>
                <w:rFonts w:ascii="Arial" w:hAnsi="Arial"/>
                <w:b w:val="0"/>
                <w:color w:val="111827"/>
                <w:sz w:val="18"/>
              </w:rPr>
            </w:r>
          </w:p>
        </w:tc>
      </w:tr>
      <w:tr>
        <w:tc>
          <w:tcPr>
            <w:tcW w:type="dxa" w:w="504"/>
          </w:tcPr>
          <w:p>
            <w:pPr>
              <w:spacing w:after="0" w:before="0"/>
            </w:pPr>
            <w:r/>
            <w:r>
              <w:rPr>
                <w:rFonts w:ascii="Arial" w:hAnsi="Arial"/>
                <w:b/>
                <w:color w:val="1F6FEB"/>
                <w:sz w:val="18"/>
              </w:rPr>
              <w:t>2</w:t>
            </w:r>
          </w:p>
        </w:tc>
        <w:tc>
          <w:tcPr>
            <w:tcW w:type="dxa" w:w="5760"/>
          </w:tcPr>
          <w:p>
            <w:pPr>
              <w:spacing w:after="0" w:before="0"/>
            </w:pPr>
            <w:r/>
            <w:r>
              <w:rPr>
                <w:rFonts w:ascii="Arial" w:hAnsi="Arial"/>
                <w:b w:val="0"/>
                <w:color w:val="111827"/>
                <w:sz w:val="18"/>
              </w:rPr>
              <w:t>You used MR-bar / 1.128 to estimate sigma, not the sample standard deviation. Using the sample SD of the stable period (0.2066) would give limits of 3.43 to 4.68 - narrower, and not the standard individuals-chart method.</w:t>
            </w:r>
          </w:p>
        </w:tc>
        <w:tc>
          <w:tcPr>
            <w:tcW w:type="dxa" w:w="2160"/>
          </w:tcPr>
          <w:p>
            <w:pPr>
              <w:spacing w:after="0" w:before="0"/>
            </w:pPr>
            <w:r/>
            <w:r>
              <w:rPr>
                <w:rFonts w:ascii="Arial" w:hAnsi="Arial"/>
                <w:b w:val="0"/>
                <w:color w:val="555F6D"/>
                <w:sz w:val="18"/>
              </w:rPr>
              <w:t>LO5</w:t>
            </w:r>
          </w:p>
        </w:tc>
        <w:tc>
          <w:tcPr>
            <w:tcW w:type="dxa" w:w="648"/>
          </w:tcPr>
          <w:p>
            <w:pPr>
              <w:spacing w:after="0" w:before="0"/>
            </w:pPr>
            <w:r/>
            <w:r>
              <w:rPr>
                <w:rFonts w:ascii="Arial" w:hAnsi="Arial"/>
                <w:b w:val="0"/>
                <w:color w:val="111827"/>
                <w:sz w:val="18"/>
              </w:rPr>
            </w:r>
          </w:p>
        </w:tc>
      </w:tr>
      <w:tr>
        <w:tc>
          <w:tcPr>
            <w:tcW w:type="dxa" w:w="504"/>
          </w:tcPr>
          <w:p>
            <w:pPr>
              <w:spacing w:after="0" w:before="0"/>
            </w:pPr>
            <w:r/>
            <w:r>
              <w:rPr>
                <w:rFonts w:ascii="Arial" w:hAnsi="Arial"/>
                <w:b/>
                <w:color w:val="1F6FEB"/>
                <w:sz w:val="18"/>
              </w:rPr>
              <w:t>3</w:t>
            </w:r>
          </w:p>
        </w:tc>
        <w:tc>
          <w:tcPr>
            <w:tcW w:type="dxa" w:w="5760"/>
          </w:tcPr>
          <w:p>
            <w:pPr>
              <w:spacing w:after="0" w:before="0"/>
            </w:pPr>
            <w:r/>
            <w:r>
              <w:rPr>
                <w:rFonts w:ascii="Arial" w:hAnsi="Arial"/>
                <w:b w:val="0"/>
                <w:color w:val="111827"/>
                <w:sz w:val="18"/>
              </w:rPr>
              <w:t>You checked the rule of seven explicitly on days 1-15 and found the longest run to be 2, concluding no violation. Simply asserting "no rule violations" without the run analysis is not the check.</w:t>
            </w:r>
          </w:p>
        </w:tc>
        <w:tc>
          <w:tcPr>
            <w:tcW w:type="dxa" w:w="2160"/>
          </w:tcPr>
          <w:p>
            <w:pPr>
              <w:spacing w:after="0" w:before="0"/>
            </w:pPr>
            <w:r/>
            <w:r>
              <w:rPr>
                <w:rFonts w:ascii="Arial" w:hAnsi="Arial"/>
                <w:b w:val="0"/>
                <w:color w:val="555F6D"/>
                <w:sz w:val="18"/>
              </w:rPr>
              <w:t>LO5</w:t>
            </w:r>
          </w:p>
        </w:tc>
        <w:tc>
          <w:tcPr>
            <w:tcW w:type="dxa" w:w="648"/>
          </w:tcPr>
          <w:p>
            <w:pPr>
              <w:spacing w:after="0" w:before="0"/>
            </w:pPr>
            <w:r/>
            <w:r>
              <w:rPr>
                <w:rFonts w:ascii="Arial" w:hAnsi="Arial"/>
                <w:b w:val="0"/>
                <w:color w:val="111827"/>
                <w:sz w:val="18"/>
              </w:rPr>
            </w:r>
          </w:p>
        </w:tc>
      </w:tr>
      <w:tr>
        <w:tc>
          <w:tcPr>
            <w:tcW w:type="dxa" w:w="504"/>
          </w:tcPr>
          <w:p>
            <w:pPr>
              <w:spacing w:after="0" w:before="0"/>
            </w:pPr>
            <w:r/>
            <w:r>
              <w:rPr>
                <w:rFonts w:ascii="Arial" w:hAnsi="Arial"/>
                <w:b/>
                <w:color w:val="1F6FEB"/>
                <w:sz w:val="18"/>
              </w:rPr>
              <w:t>4</w:t>
            </w:r>
          </w:p>
        </w:tc>
        <w:tc>
          <w:tcPr>
            <w:tcW w:type="dxa" w:w="5760"/>
          </w:tcPr>
          <w:p>
            <w:pPr>
              <w:spacing w:after="0" w:before="0"/>
            </w:pPr>
            <w:r/>
            <w:r>
              <w:rPr>
                <w:rFonts w:ascii="Arial" w:hAnsi="Arial"/>
                <w:b w:val="0"/>
                <w:color w:val="111827"/>
                <w:sz w:val="18"/>
              </w:rPr>
              <w:t>You identified days 16-20 as assignable cause AND named a specific, dated, plausible cause with a magnitude that matches the observed shift.</w:t>
            </w:r>
          </w:p>
        </w:tc>
        <w:tc>
          <w:tcPr>
            <w:tcW w:type="dxa" w:w="2160"/>
          </w:tcPr>
          <w:p>
            <w:pPr>
              <w:spacing w:after="0" w:before="0"/>
            </w:pPr>
            <w:r/>
            <w:r>
              <w:rPr>
                <w:rFonts w:ascii="Arial" w:hAnsi="Arial"/>
                <w:b w:val="0"/>
                <w:color w:val="555F6D"/>
                <w:sz w:val="18"/>
              </w:rPr>
              <w:t>LO5</w:t>
            </w:r>
          </w:p>
        </w:tc>
        <w:tc>
          <w:tcPr>
            <w:tcW w:type="dxa" w:w="648"/>
          </w:tcPr>
          <w:p>
            <w:pPr>
              <w:spacing w:after="0" w:before="0"/>
            </w:pPr>
            <w:r/>
            <w:r>
              <w:rPr>
                <w:rFonts w:ascii="Arial" w:hAnsi="Arial"/>
                <w:b w:val="0"/>
                <w:color w:val="111827"/>
                <w:sz w:val="18"/>
              </w:rPr>
            </w:r>
          </w:p>
        </w:tc>
      </w:tr>
      <w:tr>
        <w:tc>
          <w:tcPr>
            <w:tcW w:type="dxa" w:w="504"/>
          </w:tcPr>
          <w:p>
            <w:pPr>
              <w:spacing w:after="0" w:before="0"/>
            </w:pPr>
            <w:r/>
            <w:r>
              <w:rPr>
                <w:rFonts w:ascii="Arial" w:hAnsi="Arial"/>
                <w:b/>
                <w:color w:val="1F6FEB"/>
                <w:sz w:val="18"/>
              </w:rPr>
              <w:t>5</w:t>
            </w:r>
          </w:p>
        </w:tc>
        <w:tc>
          <w:tcPr>
            <w:tcW w:type="dxa" w:w="5760"/>
          </w:tcPr>
          <w:p>
            <w:pPr>
              <w:spacing w:after="0" w:before="0"/>
            </w:pPr>
            <w:r/>
            <w:r>
              <w:rPr>
                <w:rFonts w:ascii="Arial" w:hAnsi="Arial"/>
                <w:b w:val="0"/>
                <w:color w:val="111827"/>
                <w:sz w:val="18"/>
              </w:rPr>
              <w:t>You stated that days 1-15 were in control and still failed the specification. If your verdict is "the process was fine until day 16", you have missed the central point of the lab.</w:t>
            </w:r>
          </w:p>
        </w:tc>
        <w:tc>
          <w:tcPr>
            <w:tcW w:type="dxa" w:w="2160"/>
          </w:tcPr>
          <w:p>
            <w:pPr>
              <w:spacing w:after="0" w:before="0"/>
            </w:pPr>
            <w:r/>
            <w:r>
              <w:rPr>
                <w:rFonts w:ascii="Arial" w:hAnsi="Arial"/>
                <w:b w:val="0"/>
                <w:color w:val="555F6D"/>
                <w:sz w:val="18"/>
              </w:rPr>
              <w:t>LO5</w:t>
            </w:r>
          </w:p>
        </w:tc>
        <w:tc>
          <w:tcPr>
            <w:tcW w:type="dxa" w:w="648"/>
          </w:tcPr>
          <w:p>
            <w:pPr>
              <w:spacing w:after="0" w:before="0"/>
            </w:pPr>
            <w:r/>
            <w:r>
              <w:rPr>
                <w:rFonts w:ascii="Arial" w:hAnsi="Arial"/>
                <w:b w:val="0"/>
                <w:color w:val="111827"/>
                <w:sz w:val="18"/>
              </w:rPr>
            </w:r>
          </w:p>
        </w:tc>
      </w:tr>
      <w:tr>
        <w:tc>
          <w:tcPr>
            <w:tcW w:type="dxa" w:w="504"/>
          </w:tcPr>
          <w:p>
            <w:pPr>
              <w:spacing w:after="0" w:before="0"/>
            </w:pPr>
            <w:r/>
            <w:r>
              <w:rPr>
                <w:rFonts w:ascii="Arial" w:hAnsi="Arial"/>
                <w:b/>
                <w:color w:val="1F6FEB"/>
                <w:sz w:val="18"/>
              </w:rPr>
              <w:t>6</w:t>
            </w:r>
          </w:p>
        </w:tc>
        <w:tc>
          <w:tcPr>
            <w:tcW w:type="dxa" w:w="5760"/>
          </w:tcPr>
          <w:p>
            <w:pPr>
              <w:spacing w:after="0" w:before="0"/>
            </w:pPr>
            <w:r/>
            <w:r>
              <w:rPr>
                <w:rFonts w:ascii="Arial" w:hAnsi="Arial"/>
                <w:b w:val="0"/>
                <w:color w:val="111827"/>
                <w:sz w:val="18"/>
              </w:rPr>
              <w:t>Your Cpk is negative, and you concluded that the process must be re-centred rather than merely tightened.</w:t>
            </w:r>
          </w:p>
        </w:tc>
        <w:tc>
          <w:tcPr>
            <w:tcW w:type="dxa" w:w="2160"/>
          </w:tcPr>
          <w:p>
            <w:pPr>
              <w:spacing w:after="0" w:before="0"/>
            </w:pPr>
            <w:r/>
            <w:r>
              <w:rPr>
                <w:rFonts w:ascii="Arial" w:hAnsi="Arial"/>
                <w:b w:val="0"/>
                <w:color w:val="555F6D"/>
                <w:sz w:val="18"/>
              </w:rPr>
              <w:t>LO5</w:t>
            </w:r>
          </w:p>
        </w:tc>
        <w:tc>
          <w:tcPr>
            <w:tcW w:type="dxa" w:w="648"/>
          </w:tcPr>
          <w:p>
            <w:pPr>
              <w:spacing w:after="0" w:before="0"/>
            </w:pPr>
            <w:r/>
            <w:r>
              <w:rPr>
                <w:rFonts w:ascii="Arial" w:hAnsi="Arial"/>
                <w:b w:val="0"/>
                <w:color w:val="111827"/>
                <w:sz w:val="18"/>
              </w:rPr>
            </w:r>
          </w:p>
        </w:tc>
      </w:tr>
      <w:tr>
        <w:tc>
          <w:tcPr>
            <w:tcW w:type="dxa" w:w="504"/>
          </w:tcPr>
          <w:p>
            <w:pPr>
              <w:spacing w:after="0" w:before="0"/>
            </w:pPr>
            <w:r/>
            <w:r>
              <w:rPr>
                <w:rFonts w:ascii="Arial" w:hAnsi="Arial"/>
                <w:b/>
                <w:color w:val="1F6FEB"/>
                <w:sz w:val="18"/>
              </w:rPr>
              <w:t>7</w:t>
            </w:r>
          </w:p>
        </w:tc>
        <w:tc>
          <w:tcPr>
            <w:tcW w:type="dxa" w:w="5760"/>
          </w:tcPr>
          <w:p>
            <w:pPr>
              <w:spacing w:after="0" w:before="0"/>
            </w:pPr>
            <w:r/>
            <w:r>
              <w:rPr>
                <w:rFonts w:ascii="Arial" w:hAnsi="Arial"/>
                <w:b w:val="0"/>
                <w:color w:val="111827"/>
                <w:sz w:val="18"/>
              </w:rPr>
              <w:t>Your action list addresses both the assignable cause and the underlying capability problem, and your post-action forecast is stated honestly rather than claimed as capable.</w:t>
            </w:r>
          </w:p>
        </w:tc>
        <w:tc>
          <w:tcPr>
            <w:tcW w:type="dxa" w:w="2160"/>
          </w:tcPr>
          <w:p>
            <w:pPr>
              <w:spacing w:after="0" w:before="0"/>
            </w:pPr>
            <w:r/>
            <w:r>
              <w:rPr>
                <w:rFonts w:ascii="Arial" w:hAnsi="Arial"/>
                <w:b w:val="0"/>
                <w:color w:val="555F6D"/>
                <w:sz w:val="18"/>
              </w:rPr>
              <w:t>LO5</w:t>
            </w:r>
          </w:p>
        </w:tc>
        <w:tc>
          <w:tcPr>
            <w:tcW w:type="dxa" w:w="648"/>
          </w:tcPr>
          <w:p>
            <w:pPr>
              <w:spacing w:after="0" w:before="0"/>
            </w:pPr>
            <w:r/>
            <w:r>
              <w:rPr>
                <w:rFonts w:ascii="Arial" w:hAnsi="Arial"/>
                <w:b w:val="0"/>
                <w:color w:val="111827"/>
                <w:sz w:val="18"/>
              </w:rPr>
            </w:r>
          </w:p>
        </w:tc>
      </w:tr>
      <w:tr>
        <w:tc>
          <w:tcPr>
            <w:tcW w:type="dxa" w:w="504"/>
          </w:tcPr>
          <w:p>
            <w:pPr>
              <w:spacing w:after="0" w:before="0"/>
            </w:pPr>
            <w:r/>
            <w:r>
              <w:rPr>
                <w:rFonts w:ascii="Arial" w:hAnsi="Arial"/>
                <w:b/>
                <w:color w:val="1F6FEB"/>
                <w:sz w:val="18"/>
              </w:rPr>
              <w:t>8</w:t>
            </w:r>
          </w:p>
        </w:tc>
        <w:tc>
          <w:tcPr>
            <w:tcW w:type="dxa" w:w="5760"/>
          </w:tcPr>
          <w:p>
            <w:pPr>
              <w:spacing w:after="0" w:before="0"/>
            </w:pPr>
            <w:r/>
            <w:r>
              <w:rPr>
                <w:rFonts w:ascii="Arial" w:hAnsi="Arial"/>
                <w:b w:val="0"/>
                <w:color w:val="111827"/>
                <w:sz w:val="18"/>
              </w:rPr>
              <w:t>You can explain why demanding an explanation for a single below-average day in a stable process makes performance worse.</w:t>
            </w:r>
          </w:p>
        </w:tc>
        <w:tc>
          <w:tcPr>
            <w:tcW w:type="dxa" w:w="2160"/>
          </w:tcPr>
          <w:p>
            <w:pPr>
              <w:spacing w:after="0" w:before="0"/>
            </w:pPr>
            <w:r/>
            <w:r>
              <w:rPr>
                <w:rFonts w:ascii="Arial" w:hAnsi="Arial"/>
                <w:b w:val="0"/>
                <w:color w:val="555F6D"/>
                <w:sz w:val="18"/>
              </w:rPr>
              <w:t>LO5</w:t>
            </w:r>
          </w:p>
        </w:tc>
        <w:tc>
          <w:tcPr>
            <w:tcW w:type="dxa" w:w="648"/>
          </w:tcPr>
          <w:p>
            <w:pPr>
              <w:spacing w:after="0" w:before="0"/>
            </w:pPr>
            <w:r/>
            <w:r>
              <w:rPr>
                <w:rFonts w:ascii="Arial" w:hAnsi="Arial"/>
                <w:b w:val="0"/>
                <w:color w:val="111827"/>
                <w:sz w:val="18"/>
              </w:rPr>
            </w:r>
          </w:p>
        </w:tc>
      </w:tr>
    </w:tbl>
    <w:p>
      <w:pPr>
        <w:spacing w:before="280" w:after="100"/>
      </w:pPr>
      <w:r>
        <w:rPr>
          <w:rFonts w:ascii="Arial" w:hAnsi="Arial"/>
          <w:b/>
          <w:color w:val="111827"/>
          <w:sz w:val="26"/>
        </w:rPr>
        <w:t>Debrief check</w:t>
      </w:r>
    </w:p>
    <w:p>
      <w:pPr>
        <w:spacing w:after="120" w:before="0"/>
      </w:pPr>
      <w:r>
        <w:rPr>
          <w:rFonts w:ascii="Arial" w:hAnsi="Arial"/>
          <w:b w:val="0"/>
          <w:i w:val="0"/>
          <w:color w:val="111827"/>
          <w:sz w:val="21"/>
        </w:rPr>
        <w:t>Your centre line is 4.053, MR-bar is 0.3286, sigma is 0.2913, and your limits are 3.179 and 4.927. If your limits are much wider, you computed them across all 20 points and have hidden the signal.</w:t>
      </w:r>
    </w:p>
    <w:p>
      <w:pPr>
        <w:spacing w:before="280" w:after="100"/>
      </w:pPr>
      <w:r>
        <w:rPr>
          <w:rFonts w:ascii="Arial" w:hAnsi="Arial"/>
          <w:b/>
          <w:color w:val="111827"/>
          <w:sz w:val="26"/>
        </w:rPr>
        <w:t>Feedback</w:t>
      </w:r>
    </w:p>
    <w:p>
      <w:pPr>
        <w:spacing w:after="60" w:before="0"/>
      </w:pPr>
      <w:r>
        <w:rPr>
          <w:rFonts w:ascii="Arial" w:hAnsi="Arial"/>
          <w:b/>
          <w:i w:val="0"/>
          <w:color w:val="111827"/>
          <w:sz w:val="20"/>
        </w:rPr>
        <w:t>What did you find hardest in this activity?</w:t>
      </w:r>
    </w:p>
    <w:p>
      <w:pPr>
        <w:spacing w:before="200" w:after="200"/>
        <w:pBdr>
          <w:bottom w:val="single" w:sz="6" w:space="1" w:color="B8C4D0"/>
        </w:pBdr>
      </w:pPr>
    </w:p>
    <w:p>
      <w:pPr>
        <w:spacing w:before="200" w:after="200"/>
        <w:pBdr>
          <w:bottom w:val="single" w:sz="6" w:space="1" w:color="B8C4D0"/>
        </w:pBdr>
      </w:pPr>
    </w:p>
    <w:p>
      <w:pPr>
        <w:spacing w:after="60" w:before="0"/>
      </w:pPr>
      <w:r>
        <w:rPr>
          <w:rFonts w:ascii="Arial" w:hAnsi="Arial"/>
          <w:b/>
          <w:i w:val="0"/>
          <w:color w:val="111827"/>
          <w:sz w:val="20"/>
        </w:rPr>
        <w:t>What is the ONE thing you will do differently at work?</w:t>
      </w:r>
    </w:p>
    <w:p>
      <w:pPr>
        <w:spacing w:before="200" w:after="200"/>
        <w:pBdr>
          <w:bottom w:val="single" w:sz="6" w:space="1" w:color="B8C4D0"/>
        </w:pBdr>
      </w:pPr>
    </w:p>
    <w:p>
      <w:pPr>
        <w:spacing w:before="200" w:after="200"/>
        <w:pBdr>
          <w:bottom w:val="single" w:sz="6" w:space="1" w:color="B8C4D0"/>
        </w:pBdr>
      </w:pPr>
    </w:p>
    <w:p>
      <w:pPr>
        <w:spacing w:after="120" w:before="320"/>
        <w:jc w:val="center"/>
      </w:pPr>
      <w:r>
        <w:rPr>
          <w:rFonts w:ascii="Arial" w:hAnsi="Arial"/>
          <w:b w:val="0"/>
          <w:i w:val="0"/>
          <w:color w:val="555F6D"/>
          <w:sz w:val="15"/>
        </w:rPr>
        <w:t>Project Management Masterclass · C523 · Version v3.0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