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22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SPC Control Chart and Statistical Process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60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LO5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5 - Monitor and Control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control chart, stability verdict, capability summary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21 corrective actions and their implementation date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06 success criterion SC-1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20 trend analysis method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Take the measurement data. Contoso measures median registration completion time every working day. Charter success criterion SC-1 requires the completed system to achieve under 4.0 minutes, down from the 11-minute legacy baseline.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Compute the centre line and control limits. This is an individuals chart (X-mR), used when each measurement is a single value rather than a subgroup average. The control limits come from the moving range, not from the standard deviation.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Plot the chart. Enter the full 20-point series in order: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Apply the out-of-control rules. A single point outside the limits is only one of several signals. Apply the full set - these are the Western Electric / Nelson rules, and the exam expects the rule of seven in particular.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Separate the causes and decide the response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Assess capability against the charter target. Now bring in the specification limit, which has been absent so far and deliberately so.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Write the quality verdict and actions. Create artifacts/22-stability-verdict.md: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Take the measurement data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Compute the centre line and control limits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Plot the chart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Apply the out-of-control rules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Separate the causes and decide the response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Assess capability against the charter target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Write the quality verdict and actions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8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22-control-chart.md - the centre line, moving ranges, estimated sigma, and both the individuals and moving-range control limits, all computed by hand with the working shown.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A statement of why limits were computed from days 1-15 rather than all 20, and what happens to the limits if you use all 20.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A screenshot or export of your SPC tool output showing the 20 plotted points against limits derived from the stable period.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out-of-control rules table with each rule assessed, including the explicit rule-of-seven run analysis on days 1-15.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22-stability-verdict.md - the common cause / assignable cause separation, the identified assignable cause with its timing and magnitude evidence, and the correct response to each.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22-capability-summary.md - the Statistics tool output, the Cpk calculation, and the interpretation against the capability bands.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A written statement of the difference between the stability finding and the capability finding, and why fixing only the day-16 shift would leave SC-1 unmet.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four quality actions with expected recovery figures and the honest post-action Cpk forecast.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