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23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Project Closure, Benefits Realisation and Lessons Learned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Role Play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6 - Close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Project Closure, Benefits Realisation and Lessons Learned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state, without hesitation, that Control Quality verifies against specification internally and comes FIRST, and Validate Scope obtains customer acceptance and comes SECOND.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closure checklist includes procurement closure as a separate category from administrative closure, and you can say why procurement closes first.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reported SC-2 as NOT MET. If every criterion on your report is green, you edited rather than measured.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quantified the SC-2 consequence as a benefit shortfall of SGD 42,529 per year, rather than describing it as "slightly below target".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final cost arithmetic reconciles: 271,000 + 197,400 + 10,500 = 478,900, and you can explain each of the three components.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stated that the contingency reserve closed at ZERO and reported that as an exposure, not as a success.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attributed the SGD 43,520 improvement against forecast to specific causes, principally the CR-14 scope reduction, rather than claiming it as general good management.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one of B1 to B4 has a named business owner who is not the project manager, and review dates that fall after the project has closed.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LO5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 can state, without hesitation, that Control Quality verifies against specification internally and comes FIRST, and Validate Scope obtains customer acceptance and comes SECOND.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