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23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Project Closure, Benefits Realisation and Lessons Learned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Role Play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60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LO5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6 - Close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closure checklist, final report, lessons learned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05 benefits map B1-B4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06 charter success criteria SC-1 to SC-8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09 requirements traceability matrix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14 risk register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20 EVM final position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Define the closure criteria before closing anything. Create artifacts/23-closure-checklist.md. Enabler 1 requires you to state what "closed" means before you begin. These twenty items are the Contoso closure criteria.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Verify scope before seeking acceptance. Control Quality comes first. Run the RTM closure check before anyone signs anything.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Obtain formal acceptance (enabler 2). Acceptance criteria must be stated per deliverable, and the accepting party must be the person who can actually judge it.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Validate readiness for transition to operations (enabler 3). Create artifacts/23-transition-plan.md. This is a go/no-go assessment, not a summary.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Write the final report. Create artifacts/23-final-report.md. Report all eight charter success criteria, including the miss.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Hand over the benefits (they are realised after you leave). Create artifacts/23-benefits-realisation.md.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Capture lessons learned that actually change something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Transfer the knowledge (People T7)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Release the team and close the human side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Define the closure criteria before closing anything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Verify scope before seeking acceptance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Obtain formal acceptance (enabler 2)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Validate readiness for transition to operations (enabler 3)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Write the final report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Hand over the benefits (they are realised after you leave)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Capture lessons learned that actually change something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8 — Transfer the knowledge (People T7)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9 — Release the team and close the human side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10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23-closure-checklist.md - all 20 closure criteria with evidence, owner and status, covering deliverable acceptance, scope verification, financial closure, procurement closure, resource release, documentation, transition, benefits handover and lessons learned.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RTM closure check showing 41 of 41 Must-haves and 13 of 13 compliance requirements delivered, and the 15 descoped items reconciling to 91 total.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23-final-report.md - all eight success criteria with baseline, target, actual and met/not-met, including the honest SC-2 miss at 16.2% and its quantified benefit consequence.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final EVM position with the full arithmetic of the recovery from EAC 522,420 to a final actual of SGD 478,900, the attribution of the SGD 43,520 improvement, and the contingency reserve burn-down to zero.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final scope, schedule and risk position, including the five risks transferred to operations with a named owner.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acceptance sign-off table with named stakeholders per deliverable, and the conditional acceptance recorded as conditional.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23-transition-plan.md - the 12-criterion readiness assessment with thresholds set in advance, plus the four-week hypercare plan with staffing, response times and exit criteria.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23-benefits-realisation.md - B1 to B4 handed to named business owners with measures and 30/90/180-day review dates, the review governance with named chairs, and the documented procedure for an unrealised benefit.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23-lessons-learned.md - at least 10 lessons, each with what happened, quantified impact, root cause, recommendation and the named OPA it updates, headed by the A-07 assumption-log failure with its SGD 50,760 consequence, and including at least two positive lessons.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knowledge transfer table separating explicit from tacit knowledge, with method and date.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