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78"/>
      </w:tblGrid>
      <w:tr>
        <w:tc>
          <w:tcPr>
            <w:tcW w:type="dxa" w:w="9678"/>
            <w:shd w:val="clear" w:fill="1F6FEB"/>
          </w:tcPr>
          <w:p>
            <w:pPr>
              <w:spacing w:after="0" w:before="0"/>
              <w:jc w:val="center"/>
            </w:pPr>
            <w:r/>
            <w:r>
              <w:rPr>
                <w:rFonts w:ascii="Arial" w:hAnsi="Arial"/>
                <w:b/>
                <w:color w:val="FFFFFF"/>
                <w:sz w:val="20"/>
              </w:rPr>
              <w:t>Tertiary Infotech Academy Pte Ltd</w:t>
            </w:r>
          </w:p>
        </w:tc>
      </w:tr>
    </w:tbl>
    <w:p>
      <w:pPr>
        <w:spacing w:after="40" w:before="0"/>
      </w:pPr>
      <w:r>
        <w:rPr>
          <w:rFonts w:ascii="Arial" w:hAnsi="Arial"/>
          <w:b/>
          <w:i w:val="0"/>
          <w:color w:val="1F6FEB"/>
          <w:sz w:val="24"/>
        </w:rPr>
        <w:t>ACTIVITY 24 — CHECKLIST</w:t>
      </w:r>
    </w:p>
    <w:p>
      <w:pPr>
        <w:spacing w:after="40" w:before="0"/>
      </w:pPr>
      <w:r>
        <w:rPr>
          <w:rFonts w:ascii="Arial" w:hAnsi="Arial"/>
          <w:b/>
          <w:i w:val="0"/>
          <w:color w:val="111827"/>
          <w:sz w:val="30"/>
        </w:rPr>
        <w:t>Capstone: Integrated Project Management Plan and Mock Exam</w:t>
      </w:r>
    </w:p>
    <w:tbl>
      <w:tblPr>
        <w:tblW w:type="auto" w:w="0"/>
        <w:jc w:val="center"/>
        <w:tblLook w:firstColumn="1" w:firstRow="1" w:lastColumn="0" w:lastRow="0" w:noHBand="0" w:noVBand="1" w:val="04A0"/>
      </w:tblPr>
      <w:tblGrid>
        <w:gridCol w:w="2419"/>
        <w:gridCol w:w="2419"/>
        <w:gridCol w:w="2419"/>
        <w:gridCol w:w="2419"/>
      </w:tblGrid>
      <w:tr>
        <w:tc>
          <w:tcPr>
            <w:tcW w:type="dxa" w:w="2419"/>
            <w:shd w:val="clear" w:fill="F5F8FC"/>
          </w:tcPr>
          <w:p>
            <w:pPr>
              <w:spacing w:after="0" w:before="0"/>
            </w:pPr>
            <w:r/>
            <w:r>
              <w:rPr>
                <w:rFonts w:ascii="Arial" w:hAnsi="Arial"/>
                <w:b/>
                <w:color w:val="1F6FEB"/>
                <w:sz w:val="15"/>
              </w:rPr>
              <w:t>TYPE</w:t>
            </w:r>
          </w:p>
          <w:p>
            <w:pPr>
              <w:spacing w:after="0" w:before="0"/>
            </w:pPr>
            <w:r>
              <w:rPr>
                <w:rFonts w:ascii="Arial" w:hAnsi="Arial"/>
                <w:b w:val="0"/>
                <w:color w:val="1F6FEB"/>
                <w:sz w:val="15"/>
              </w:rPr>
              <w:t>Workshop</w:t>
            </w:r>
          </w:p>
        </w:tc>
        <w:tc>
          <w:tcPr>
            <w:tcW w:type="dxa" w:w="2419"/>
            <w:shd w:val="clear" w:fill="F5F8FC"/>
          </w:tcPr>
          <w:p>
            <w:pPr>
              <w:spacing w:after="0" w:before="0"/>
            </w:pPr>
            <w:r/>
            <w:r>
              <w:rPr>
                <w:rFonts w:ascii="Arial" w:hAnsi="Arial"/>
                <w:b/>
                <w:color w:val="1F6FEB"/>
                <w:sz w:val="15"/>
              </w:rPr>
              <w:t>DURATION</w:t>
            </w:r>
          </w:p>
          <w:p>
            <w:pPr>
              <w:spacing w:after="0" w:before="0"/>
            </w:pPr>
            <w:r>
              <w:rPr>
                <w:rFonts w:ascii="Arial" w:hAnsi="Arial"/>
                <w:b w:val="0"/>
                <w:color w:val="1F6FEB"/>
                <w:sz w:val="15"/>
              </w:rPr>
              <w:t>120 minutes (Part A 50 minutes, Part B 70 minutes)</w:t>
            </w:r>
          </w:p>
        </w:tc>
        <w:tc>
          <w:tcPr>
            <w:tcW w:type="dxa" w:w="2419"/>
            <w:shd w:val="clear" w:fill="F5F8FC"/>
          </w:tcPr>
          <w:p>
            <w:pPr>
              <w:spacing w:after="0" w:before="0"/>
            </w:pPr>
            <w:r/>
            <w:r>
              <w:rPr>
                <w:rFonts w:ascii="Arial" w:hAnsi="Arial"/>
                <w:b/>
                <w:color w:val="1F6FEB"/>
                <w:sz w:val="15"/>
              </w:rPr>
              <w:t>MAPS TO</w:t>
            </w:r>
          </w:p>
          <w:p>
            <w:pPr>
              <w:spacing w:after="0" w:before="0"/>
            </w:pPr>
            <w:r>
              <w:rPr>
                <w:rFonts w:ascii="Arial" w:hAnsi="Arial"/>
                <w:b w:val="0"/>
                <w:color w:val="1F6FEB"/>
                <w:sz w:val="15"/>
              </w:rPr>
              <w:t>LO1, LO5</w:t>
            </w:r>
          </w:p>
        </w:tc>
        <w:tc>
          <w:tcPr>
            <w:tcW w:type="dxa" w:w="2419"/>
            <w:shd w:val="clear" w:fill="F5F8FC"/>
          </w:tcPr>
          <w:p>
            <w:pPr>
              <w:spacing w:after="0" w:before="0"/>
            </w:pPr>
            <w:r/>
            <w:r>
              <w:rPr>
                <w:rFonts w:ascii="Arial" w:hAnsi="Arial"/>
                <w:b/>
                <w:color w:val="1F6FEB"/>
                <w:sz w:val="15"/>
              </w:rPr>
              <w:t>TOPIC</w:t>
            </w:r>
          </w:p>
          <w:p>
            <w:pPr>
              <w:spacing w:after="0" w:before="0"/>
            </w:pPr>
            <w:r>
              <w:rPr>
                <w:rFonts w:ascii="Arial" w:hAnsi="Arial"/>
                <w:b w:val="0"/>
                <w:color w:val="1F6FEB"/>
                <w:sz w:val="15"/>
              </w:rPr>
              <w:t>6 - Close the Project</w:t>
            </w:r>
          </w:p>
        </w:tc>
      </w:tr>
    </w:tbl>
    <w:p>
      <w:pPr>
        <w:spacing w:after="40" w:before="0"/>
      </w:pP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584"/>
        <w:gridCol w:w="7488"/>
      </w:tblGrid>
      <w:tr>
        <w:tc>
          <w:tcPr>
            <w:tcW w:type="dxa" w:w="4839"/>
            <w:shd w:val="clear" w:fill="F5F8FC"/>
          </w:tcPr>
          <w:p>
            <w:pPr>
              <w:spacing w:after="0" w:before="0"/>
            </w:pPr>
            <w:r/>
            <w:r>
              <w:rPr>
                <w:rFonts w:ascii="Arial" w:hAnsi="Arial"/>
                <w:b/>
                <w:color w:val="1F6FEB"/>
                <w:sz w:val="19"/>
              </w:rPr>
              <w:t>Name</w:t>
            </w:r>
          </w:p>
        </w:tc>
        <w:tc>
          <w:tcPr>
            <w:tcW w:type="dxa" w:w="4839"/>
          </w:tcPr>
          <w:p>
            <w:pPr>
              <w:spacing w:after="0" w:before="0"/>
            </w:pPr>
            <w:r/>
            <w:r>
              <w:rPr>
                <w:rFonts w:ascii="Arial" w:hAnsi="Arial"/>
                <w:b w:val="0"/>
                <w:color w:val="111827"/>
                <w:sz w:val="19"/>
              </w:rPr>
            </w:r>
          </w:p>
        </w:tc>
      </w:tr>
      <w:tr>
        <w:tc>
          <w:tcPr>
            <w:tcW w:type="dxa" w:w="4839"/>
            <w:shd w:val="clear" w:fill="F5F8FC"/>
          </w:tcPr>
          <w:p>
            <w:pPr>
              <w:spacing w:after="0" w:before="0"/>
            </w:pPr>
            <w:r/>
            <w:r>
              <w:rPr>
                <w:rFonts w:ascii="Arial" w:hAnsi="Arial"/>
                <w:b/>
                <w:color w:val="1F6FEB"/>
                <w:sz w:val="19"/>
              </w:rPr>
              <w:t>Date</w:t>
            </w:r>
          </w:p>
        </w:tc>
        <w:tc>
          <w:tcPr>
            <w:tcW w:type="dxa" w:w="4839"/>
          </w:tcPr>
          <w:p>
            <w:pPr>
              <w:spacing w:after="0" w:before="0"/>
            </w:pPr>
            <w:r/>
            <w:r>
              <w:rPr>
                <w:rFonts w:ascii="Arial" w:hAnsi="Arial"/>
                <w:b w:val="0"/>
                <w:color w:val="111827"/>
                <w:sz w:val="19"/>
              </w:rPr>
            </w:r>
          </w:p>
        </w:tc>
      </w:tr>
    </w:tbl>
    <w:p>
      <w:pPr>
        <w:spacing w:before="280" w:after="100"/>
      </w:pPr>
      <w:r>
        <w:rPr>
          <w:rFonts w:ascii="Arial" w:hAnsi="Arial"/>
          <w:b/>
          <w:color w:val="111827"/>
          <w:sz w:val="26"/>
        </w:rPr>
        <w:t>Self-check — Capstone: Integrated Project Management Plan and Mock Exam</w:t>
      </w:r>
    </w:p>
    <w:p>
      <w:pPr>
        <w:spacing w:after="160" w:before="0"/>
      </w:pPr>
      <w:r>
        <w:rPr>
          <w:rFonts w:ascii="Arial" w:hAnsi="Arial"/>
          <w:b w:val="0"/>
          <w:i w:val="0"/>
          <w:color w:val="555F6D"/>
          <w:sz w:val="21"/>
        </w:rPr>
        <w:t>Tick each item you have completed. Any blank is a gap to close before your group presents at the debrief.</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04"/>
        <w:gridCol w:w="5760"/>
        <w:gridCol w:w="2160"/>
        <w:gridCol w:w="648"/>
      </w:tblGrid>
      <w:tr>
        <w:tc>
          <w:tcPr>
            <w:tcW w:type="dxa" w:w="2419"/>
            <w:shd w:val="clear" w:fill="1F6FEB"/>
          </w:tcPr>
          <w:p>
            <w:pPr>
              <w:spacing w:after="0" w:before="0"/>
            </w:pPr>
            <w:r/>
            <w:r>
              <w:rPr>
                <w:rFonts w:ascii="Arial" w:hAnsi="Arial"/>
                <w:b/>
                <w:color w:val="FFFFFF"/>
                <w:sz w:val="18"/>
              </w:rPr>
              <w:t>#</w:t>
            </w:r>
          </w:p>
        </w:tc>
        <w:tc>
          <w:tcPr>
            <w:tcW w:type="dxa" w:w="2419"/>
            <w:shd w:val="clear" w:fill="1F6FEB"/>
          </w:tcPr>
          <w:p>
            <w:pPr>
              <w:spacing w:after="0" w:before="0"/>
            </w:pPr>
            <w:r/>
            <w:r>
              <w:rPr>
                <w:rFonts w:ascii="Arial" w:hAnsi="Arial"/>
                <w:b/>
                <w:color w:val="FFFFFF"/>
                <w:sz w:val="18"/>
              </w:rPr>
              <w:t>Criterion</w:t>
            </w:r>
          </w:p>
        </w:tc>
        <w:tc>
          <w:tcPr>
            <w:tcW w:type="dxa" w:w="2419"/>
            <w:shd w:val="clear" w:fill="1F6FEB"/>
          </w:tcPr>
          <w:p>
            <w:pPr>
              <w:spacing w:after="0" w:before="0"/>
            </w:pPr>
            <w:r/>
            <w:r>
              <w:rPr>
                <w:rFonts w:ascii="Arial" w:hAnsi="Arial"/>
                <w:b/>
                <w:color w:val="FFFFFF"/>
                <w:sz w:val="18"/>
              </w:rPr>
              <w:t>Evidences</w:t>
            </w:r>
          </w:p>
        </w:tc>
        <w:tc>
          <w:tcPr>
            <w:tcW w:type="dxa" w:w="2419"/>
            <w:shd w:val="clear" w:fill="1F6FEB"/>
          </w:tcPr>
          <w:p>
            <w:pPr>
              <w:spacing w:after="0" w:before="0"/>
            </w:pPr>
            <w:r/>
            <w:r>
              <w:rPr>
                <w:rFonts w:ascii="Arial" w:hAnsi="Arial"/>
                <w:b/>
                <w:color w:val="FFFFFF"/>
                <w:sz w:val="18"/>
              </w:rPr>
              <w:t>✓</w:t>
            </w:r>
          </w:p>
        </w:tc>
      </w:tr>
      <w:tr>
        <w:tc>
          <w:tcPr>
            <w:tcW w:type="dxa" w:w="504"/>
          </w:tcPr>
          <w:p>
            <w:pPr>
              <w:spacing w:after="0" w:before="0"/>
            </w:pPr>
            <w:r/>
            <w:r>
              <w:rPr>
                <w:rFonts w:ascii="Arial" w:hAnsi="Arial"/>
                <w:b/>
                <w:color w:val="1F6FEB"/>
                <w:sz w:val="18"/>
              </w:rPr>
              <w:t>1</w:t>
            </w:r>
          </w:p>
        </w:tc>
        <w:tc>
          <w:tcPr>
            <w:tcW w:type="dxa" w:w="5760"/>
          </w:tcPr>
          <w:p>
            <w:pPr>
              <w:spacing w:after="0" w:before="0"/>
            </w:pPr>
            <w:r/>
            <w:r>
              <w:rPr>
                <w:rFonts w:ascii="Arial" w:hAnsi="Arial"/>
                <w:b w:val="0"/>
                <w:color w:val="111827"/>
                <w:sz w:val="18"/>
              </w:rPr>
              <w:t>Your plan index accounts for all three baselines separately AND the performance measurement baseline, and you did not confuse the cost baseline with the PMB.</w:t>
            </w:r>
          </w:p>
        </w:tc>
        <w:tc>
          <w:tcPr>
            <w:tcW w:type="dxa" w:w="2160"/>
          </w:tcPr>
          <w:p>
            <w:pPr>
              <w:spacing w:after="0" w:before="0"/>
            </w:pPr>
            <w:r/>
            <w:r>
              <w:rPr>
                <w:rFonts w:ascii="Arial" w:hAnsi="Arial"/>
                <w:b w:val="0"/>
                <w:color w:val="555F6D"/>
                <w:sz w:val="18"/>
              </w:rPr>
              <w:t>LO1, LO5</w:t>
            </w:r>
          </w:p>
        </w:tc>
        <w:tc>
          <w:tcPr>
            <w:tcW w:type="dxa" w:w="648"/>
          </w:tcPr>
          <w:p>
            <w:pPr>
              <w:spacing w:after="0" w:before="0"/>
            </w:pPr>
            <w:r/>
            <w:r>
              <w:rPr>
                <w:rFonts w:ascii="Arial" w:hAnsi="Arial"/>
                <w:b w:val="0"/>
                <w:color w:val="111827"/>
                <w:sz w:val="18"/>
              </w:rPr>
            </w:r>
          </w:p>
        </w:tc>
      </w:tr>
      <w:tr>
        <w:tc>
          <w:tcPr>
            <w:tcW w:type="dxa" w:w="504"/>
          </w:tcPr>
          <w:p>
            <w:pPr>
              <w:spacing w:after="0" w:before="0"/>
            </w:pPr>
            <w:r/>
            <w:r>
              <w:rPr>
                <w:rFonts w:ascii="Arial" w:hAnsi="Arial"/>
                <w:b/>
                <w:color w:val="1F6FEB"/>
                <w:sz w:val="18"/>
              </w:rPr>
              <w:t>2</w:t>
            </w:r>
          </w:p>
        </w:tc>
        <w:tc>
          <w:tcPr>
            <w:tcW w:type="dxa" w:w="5760"/>
          </w:tcPr>
          <w:p>
            <w:pPr>
              <w:spacing w:after="0" w:before="0"/>
            </w:pPr>
            <w:r/>
            <w:r>
              <w:rPr>
                <w:rFonts w:ascii="Arial" w:hAnsi="Arial"/>
                <w:b w:val="0"/>
                <w:color w:val="111827"/>
                <w:sz w:val="18"/>
              </w:rPr>
              <w:t>You can state that the scope baseline has three components, and name all three.</w:t>
            </w:r>
          </w:p>
        </w:tc>
        <w:tc>
          <w:tcPr>
            <w:tcW w:type="dxa" w:w="2160"/>
          </w:tcPr>
          <w:p>
            <w:pPr>
              <w:spacing w:after="0" w:before="0"/>
            </w:pPr>
            <w:r/>
            <w:r>
              <w:rPr>
                <w:rFonts w:ascii="Arial" w:hAnsi="Arial"/>
                <w:b w:val="0"/>
                <w:color w:val="555F6D"/>
                <w:sz w:val="18"/>
              </w:rPr>
              <w:t>LO1, LO5</w:t>
            </w:r>
          </w:p>
        </w:tc>
        <w:tc>
          <w:tcPr>
            <w:tcW w:type="dxa" w:w="648"/>
          </w:tcPr>
          <w:p>
            <w:pPr>
              <w:spacing w:after="0" w:before="0"/>
            </w:pPr>
            <w:r/>
            <w:r>
              <w:rPr>
                <w:rFonts w:ascii="Arial" w:hAnsi="Arial"/>
                <w:b w:val="0"/>
                <w:color w:val="111827"/>
                <w:sz w:val="18"/>
              </w:rPr>
            </w:r>
          </w:p>
        </w:tc>
      </w:tr>
      <w:tr>
        <w:tc>
          <w:tcPr>
            <w:tcW w:type="dxa" w:w="504"/>
          </w:tcPr>
          <w:p>
            <w:pPr>
              <w:spacing w:after="0" w:before="0"/>
            </w:pPr>
            <w:r/>
            <w:r>
              <w:rPr>
                <w:rFonts w:ascii="Arial" w:hAnsi="Arial"/>
                <w:b/>
                <w:color w:val="1F6FEB"/>
                <w:sz w:val="18"/>
              </w:rPr>
              <w:t>3</w:t>
            </w:r>
          </w:p>
        </w:tc>
        <w:tc>
          <w:tcPr>
            <w:tcW w:type="dxa" w:w="5760"/>
          </w:tcPr>
          <w:p>
            <w:pPr>
              <w:spacing w:after="0" w:before="0"/>
            </w:pPr>
            <w:r/>
            <w:r>
              <w:rPr>
                <w:rFonts w:ascii="Arial" w:hAnsi="Arial"/>
                <w:b w:val="0"/>
                <w:color w:val="111827"/>
                <w:sz w:val="18"/>
              </w:rPr>
              <w:t>You can state that the PMB includes contingency reserve and excludes management reserve, and explain why using management reserve requires a baseline change while using contingency does not.</w:t>
            </w:r>
          </w:p>
        </w:tc>
        <w:tc>
          <w:tcPr>
            <w:tcW w:type="dxa" w:w="2160"/>
          </w:tcPr>
          <w:p>
            <w:pPr>
              <w:spacing w:after="0" w:before="0"/>
            </w:pPr>
            <w:r/>
            <w:r>
              <w:rPr>
                <w:rFonts w:ascii="Arial" w:hAnsi="Arial"/>
                <w:b w:val="0"/>
                <w:color w:val="555F6D"/>
                <w:sz w:val="18"/>
              </w:rPr>
              <w:t>LO1, LO5</w:t>
            </w:r>
          </w:p>
        </w:tc>
        <w:tc>
          <w:tcPr>
            <w:tcW w:type="dxa" w:w="648"/>
          </w:tcPr>
          <w:p>
            <w:pPr>
              <w:spacing w:after="0" w:before="0"/>
            </w:pPr>
            <w:r/>
            <w:r>
              <w:rPr>
                <w:rFonts w:ascii="Arial" w:hAnsi="Arial"/>
                <w:b w:val="0"/>
                <w:color w:val="111827"/>
                <w:sz w:val="18"/>
              </w:rPr>
            </w:r>
          </w:p>
        </w:tc>
      </w:tr>
      <w:tr>
        <w:tc>
          <w:tcPr>
            <w:tcW w:type="dxa" w:w="504"/>
          </w:tcPr>
          <w:p>
            <w:pPr>
              <w:spacing w:after="0" w:before="0"/>
            </w:pPr>
            <w:r/>
            <w:r>
              <w:rPr>
                <w:rFonts w:ascii="Arial" w:hAnsi="Arial"/>
                <w:b/>
                <w:color w:val="1F6FEB"/>
                <w:sz w:val="18"/>
              </w:rPr>
              <w:t>4</w:t>
            </w:r>
          </w:p>
        </w:tc>
        <w:tc>
          <w:tcPr>
            <w:tcW w:type="dxa" w:w="5760"/>
          </w:tcPr>
          <w:p>
            <w:pPr>
              <w:spacing w:after="0" w:before="0"/>
            </w:pPr>
            <w:r/>
            <w:r>
              <w:rPr>
                <w:rFonts w:ascii="Arial" w:hAnsi="Arial"/>
                <w:b w:val="0"/>
                <w:color w:val="111827"/>
                <w:sz w:val="18"/>
              </w:rPr>
              <w:t>You actually computed the PV sum in audit A-3 rather than asserting it, and got SGD 480,000.</w:t>
            </w:r>
          </w:p>
        </w:tc>
        <w:tc>
          <w:tcPr>
            <w:tcW w:type="dxa" w:w="2160"/>
          </w:tcPr>
          <w:p>
            <w:pPr>
              <w:spacing w:after="0" w:before="0"/>
            </w:pPr>
            <w:r/>
            <w:r>
              <w:rPr>
                <w:rFonts w:ascii="Arial" w:hAnsi="Arial"/>
                <w:b w:val="0"/>
                <w:color w:val="555F6D"/>
                <w:sz w:val="18"/>
              </w:rPr>
              <w:t>LO1, LO5</w:t>
            </w:r>
          </w:p>
        </w:tc>
        <w:tc>
          <w:tcPr>
            <w:tcW w:type="dxa" w:w="648"/>
          </w:tcPr>
          <w:p>
            <w:pPr>
              <w:spacing w:after="0" w:before="0"/>
            </w:pPr>
            <w:r/>
            <w:r>
              <w:rPr>
                <w:rFonts w:ascii="Arial" w:hAnsi="Arial"/>
                <w:b w:val="0"/>
                <w:color w:val="111827"/>
                <w:sz w:val="18"/>
              </w:rPr>
            </w:r>
          </w:p>
        </w:tc>
      </w:tr>
      <w:tr>
        <w:tc>
          <w:tcPr>
            <w:tcW w:type="dxa" w:w="504"/>
          </w:tcPr>
          <w:p>
            <w:pPr>
              <w:spacing w:after="0" w:before="0"/>
            </w:pPr>
            <w:r/>
            <w:r>
              <w:rPr>
                <w:rFonts w:ascii="Arial" w:hAnsi="Arial"/>
                <w:b/>
                <w:color w:val="1F6FEB"/>
                <w:sz w:val="18"/>
              </w:rPr>
              <w:t>5</w:t>
            </w:r>
          </w:p>
        </w:tc>
        <w:tc>
          <w:tcPr>
            <w:tcW w:type="dxa" w:w="5760"/>
          </w:tcPr>
          <w:p>
            <w:pPr>
              <w:spacing w:after="0" w:before="0"/>
            </w:pPr>
            <w:r/>
            <w:r>
              <w:rPr>
                <w:rFonts w:ascii="Arial" w:hAnsi="Arial"/>
                <w:b w:val="0"/>
                <w:color w:val="111827"/>
                <w:sz w:val="18"/>
              </w:rPr>
              <w:t>Your audit of A-5 goes beyond ticking the equality and observes that a reserve set at exactly EMV was fully consumed with ten weeks remaining.</w:t>
            </w:r>
          </w:p>
        </w:tc>
        <w:tc>
          <w:tcPr>
            <w:tcW w:type="dxa" w:w="2160"/>
          </w:tcPr>
          <w:p>
            <w:pPr>
              <w:spacing w:after="0" w:before="0"/>
            </w:pPr>
            <w:r/>
            <w:r>
              <w:rPr>
                <w:rFonts w:ascii="Arial" w:hAnsi="Arial"/>
                <w:b w:val="0"/>
                <w:color w:val="555F6D"/>
                <w:sz w:val="18"/>
              </w:rPr>
              <w:t>LO1, LO5</w:t>
            </w:r>
          </w:p>
        </w:tc>
        <w:tc>
          <w:tcPr>
            <w:tcW w:type="dxa" w:w="648"/>
          </w:tcPr>
          <w:p>
            <w:pPr>
              <w:spacing w:after="0" w:before="0"/>
            </w:pPr>
            <w:r/>
            <w:r>
              <w:rPr>
                <w:rFonts w:ascii="Arial" w:hAnsi="Arial"/>
                <w:b w:val="0"/>
                <w:color w:val="111827"/>
                <w:sz w:val="18"/>
              </w:rPr>
            </w:r>
          </w:p>
        </w:tc>
      </w:tr>
      <w:tr>
        <w:tc>
          <w:tcPr>
            <w:tcW w:type="dxa" w:w="504"/>
          </w:tcPr>
          <w:p>
            <w:pPr>
              <w:spacing w:after="0" w:before="0"/>
            </w:pPr>
            <w:r/>
            <w:r>
              <w:rPr>
                <w:rFonts w:ascii="Arial" w:hAnsi="Arial"/>
                <w:b/>
                <w:color w:val="1F6FEB"/>
                <w:sz w:val="18"/>
              </w:rPr>
              <w:t>6</w:t>
            </w:r>
          </w:p>
        </w:tc>
        <w:tc>
          <w:tcPr>
            <w:tcW w:type="dxa" w:w="5760"/>
          </w:tcPr>
          <w:p>
            <w:pPr>
              <w:spacing w:after="0" w:before="0"/>
            </w:pPr>
            <w:r/>
            <w:r>
              <w:rPr>
                <w:rFonts w:ascii="Arial" w:hAnsi="Arial"/>
                <w:b w:val="0"/>
                <w:color w:val="111827"/>
                <w:sz w:val="18"/>
              </w:rPr>
              <w:t>You found and recorded at least one genuine discrepancy across your own 23 labs of artifacts. Finding none almost always means you compared the presence of numbers rather than the numbers themselves.</w:t>
            </w:r>
          </w:p>
        </w:tc>
        <w:tc>
          <w:tcPr>
            <w:tcW w:type="dxa" w:w="2160"/>
          </w:tcPr>
          <w:p>
            <w:pPr>
              <w:spacing w:after="0" w:before="0"/>
            </w:pPr>
            <w:r/>
            <w:r>
              <w:rPr>
                <w:rFonts w:ascii="Arial" w:hAnsi="Arial"/>
                <w:b w:val="0"/>
                <w:color w:val="555F6D"/>
                <w:sz w:val="18"/>
              </w:rPr>
              <w:t>LO1, LO5</w:t>
            </w:r>
          </w:p>
        </w:tc>
        <w:tc>
          <w:tcPr>
            <w:tcW w:type="dxa" w:w="648"/>
          </w:tcPr>
          <w:p>
            <w:pPr>
              <w:spacing w:after="0" w:before="0"/>
            </w:pPr>
            <w:r/>
            <w:r>
              <w:rPr>
                <w:rFonts w:ascii="Arial" w:hAnsi="Arial"/>
                <w:b w:val="0"/>
                <w:color w:val="111827"/>
                <w:sz w:val="18"/>
              </w:rPr>
            </w:r>
          </w:p>
        </w:tc>
      </w:tr>
      <w:tr>
        <w:tc>
          <w:tcPr>
            <w:tcW w:type="dxa" w:w="504"/>
          </w:tcPr>
          <w:p>
            <w:pPr>
              <w:spacing w:after="0" w:before="0"/>
            </w:pPr>
            <w:r/>
            <w:r>
              <w:rPr>
                <w:rFonts w:ascii="Arial" w:hAnsi="Arial"/>
                <w:b/>
                <w:color w:val="1F6FEB"/>
                <w:sz w:val="18"/>
              </w:rPr>
              <w:t>7</w:t>
            </w:r>
          </w:p>
        </w:tc>
        <w:tc>
          <w:tcPr>
            <w:tcW w:type="dxa" w:w="5760"/>
          </w:tcPr>
          <w:p>
            <w:pPr>
              <w:spacing w:after="0" w:before="0"/>
            </w:pPr>
            <w:r/>
            <w:r>
              <w:rPr>
                <w:rFonts w:ascii="Arial" w:hAnsi="Arial"/>
                <w:b w:val="0"/>
                <w:color w:val="111827"/>
                <w:sz w:val="18"/>
              </w:rPr>
              <w:t>You took the mock exam in 40 minutes with a timer, without stopping, and without looking at the key.</w:t>
            </w:r>
          </w:p>
        </w:tc>
        <w:tc>
          <w:tcPr>
            <w:tcW w:type="dxa" w:w="2160"/>
          </w:tcPr>
          <w:p>
            <w:pPr>
              <w:spacing w:after="0" w:before="0"/>
            </w:pPr>
            <w:r/>
            <w:r>
              <w:rPr>
                <w:rFonts w:ascii="Arial" w:hAnsi="Arial"/>
                <w:b w:val="0"/>
                <w:color w:val="555F6D"/>
                <w:sz w:val="18"/>
              </w:rPr>
              <w:t>LO1, LO5</w:t>
            </w:r>
          </w:p>
        </w:tc>
        <w:tc>
          <w:tcPr>
            <w:tcW w:type="dxa" w:w="648"/>
          </w:tcPr>
          <w:p>
            <w:pPr>
              <w:spacing w:after="0" w:before="0"/>
            </w:pPr>
            <w:r/>
            <w:r>
              <w:rPr>
                <w:rFonts w:ascii="Arial" w:hAnsi="Arial"/>
                <w:b w:val="0"/>
                <w:color w:val="111827"/>
                <w:sz w:val="18"/>
              </w:rPr>
            </w:r>
          </w:p>
        </w:tc>
      </w:tr>
      <w:tr>
        <w:tc>
          <w:tcPr>
            <w:tcW w:type="dxa" w:w="504"/>
          </w:tcPr>
          <w:p>
            <w:pPr>
              <w:spacing w:after="0" w:before="0"/>
            </w:pPr>
            <w:r/>
            <w:r>
              <w:rPr>
                <w:rFonts w:ascii="Arial" w:hAnsi="Arial"/>
                <w:b/>
                <w:color w:val="1F6FEB"/>
                <w:sz w:val="18"/>
              </w:rPr>
              <w:t>8</w:t>
            </w:r>
          </w:p>
        </w:tc>
        <w:tc>
          <w:tcPr>
            <w:tcW w:type="dxa" w:w="5760"/>
          </w:tcPr>
          <w:p>
            <w:pPr>
              <w:spacing w:after="0" w:before="0"/>
            </w:pPr>
            <w:r/>
            <w:r>
              <w:rPr>
                <w:rFonts w:ascii="Arial" w:hAnsi="Arial"/>
                <w:b w:val="0"/>
                <w:color w:val="111827"/>
                <w:sz w:val="18"/>
              </w:rPr>
              <w:t>Your answers were recorded before you read any rationale.</w:t>
            </w:r>
          </w:p>
        </w:tc>
        <w:tc>
          <w:tcPr>
            <w:tcW w:type="dxa" w:w="2160"/>
          </w:tcPr>
          <w:p>
            <w:pPr>
              <w:spacing w:after="0" w:before="0"/>
            </w:pPr>
            <w:r/>
            <w:r>
              <w:rPr>
                <w:rFonts w:ascii="Arial" w:hAnsi="Arial"/>
                <w:b w:val="0"/>
                <w:color w:val="555F6D"/>
                <w:sz w:val="18"/>
              </w:rPr>
              <w:t>LO1, LO5</w:t>
            </w:r>
          </w:p>
        </w:tc>
        <w:tc>
          <w:tcPr>
            <w:tcW w:type="dxa" w:w="648"/>
          </w:tcPr>
          <w:p>
            <w:pPr>
              <w:spacing w:after="0" w:before="0"/>
            </w:pPr>
            <w:r/>
            <w:r>
              <w:rPr>
                <w:rFonts w:ascii="Arial" w:hAnsi="Arial"/>
                <w:b w:val="0"/>
                <w:color w:val="111827"/>
                <w:sz w:val="18"/>
              </w:rPr>
            </w:r>
          </w:p>
        </w:tc>
      </w:tr>
    </w:tbl>
    <w:p>
      <w:pPr>
        <w:spacing w:before="280" w:after="100"/>
      </w:pPr>
      <w:r>
        <w:rPr>
          <w:rFonts w:ascii="Arial" w:hAnsi="Arial"/>
          <w:b/>
          <w:color w:val="111827"/>
          <w:sz w:val="26"/>
        </w:rPr>
        <w:t>Debrief check</w:t>
      </w:r>
    </w:p>
    <w:p>
      <w:pPr>
        <w:spacing w:after="120" w:before="0"/>
      </w:pPr>
      <w:r>
        <w:rPr>
          <w:rFonts w:ascii="Arial" w:hAnsi="Arial"/>
          <w:b w:val="0"/>
          <w:i w:val="0"/>
          <w:color w:val="111827"/>
          <w:sz w:val="21"/>
        </w:rPr>
        <w:t>Your plan index accounts for all three baselines separately AND the performance measurement baseline, and you did not confuse the cost baseline with the PMB.</w:t>
      </w:r>
    </w:p>
    <w:p>
      <w:pPr>
        <w:spacing w:before="280" w:after="100"/>
      </w:pPr>
      <w:r>
        <w:rPr>
          <w:rFonts w:ascii="Arial" w:hAnsi="Arial"/>
          <w:b/>
          <w:color w:val="111827"/>
          <w:sz w:val="26"/>
        </w:rPr>
        <w:t>Feedback</w:t>
      </w:r>
    </w:p>
    <w:p>
      <w:pPr>
        <w:spacing w:after="60" w:before="0"/>
      </w:pPr>
      <w:r>
        <w:rPr>
          <w:rFonts w:ascii="Arial" w:hAnsi="Arial"/>
          <w:b/>
          <w:i w:val="0"/>
          <w:color w:val="111827"/>
          <w:sz w:val="20"/>
        </w:rPr>
        <w:t>What did you find hardest in this activity?</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What is the ONE thing you will do differently at work?</w:t>
      </w:r>
    </w:p>
    <w:p>
      <w:pPr>
        <w:spacing w:before="200" w:after="200"/>
        <w:pBdr>
          <w:bottom w:val="single" w:sz="6" w:space="1" w:color="B8C4D0"/>
        </w:pBdr>
      </w:pPr>
    </w:p>
    <w:p>
      <w:pPr>
        <w:spacing w:before="200" w:after="200"/>
        <w:pBdr>
          <w:bottom w:val="single" w:sz="6" w:space="1" w:color="B8C4D0"/>
        </w:pBdr>
      </w:pPr>
    </w:p>
    <w:p>
      <w:pPr>
        <w:spacing w:after="120" w:before="320"/>
        <w:jc w:val="center"/>
      </w:pPr>
      <w:r>
        <w:rPr>
          <w:rFonts w:ascii="Arial" w:hAnsi="Arial"/>
          <w:b w:val="0"/>
          <w:i w:val="0"/>
          <w:color w:val="555F6D"/>
          <w:sz w:val="15"/>
        </w:rPr>
        <w:t>Project Management Masterclass · C523 · Version v3.0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