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24 — FACILITATOR GUIDE</w:t>
      </w:r>
    </w:p>
    <w:p>
      <w:pPr>
        <w:spacing w:after="40" w:before="0"/>
      </w:pPr>
      <w:r>
        <w:rPr>
          <w:rFonts w:ascii="Arial" w:hAnsi="Arial"/>
          <w:b/>
          <w:i w:val="0"/>
          <w:color w:val="111827"/>
          <w:sz w:val="30"/>
        </w:rPr>
        <w:t>Capstone: Integrated Project Management Plan and Mock Exam</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120 minutes (Part A 50 minutes, Part B 70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LO1, LO5</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6 - Close the Project</w:t>
            </w:r>
          </w:p>
        </w:tc>
      </w:tr>
    </w:tbl>
    <w:p>
      <w:pPr>
        <w:spacing w:after="40" w:before="0"/>
      </w:pPr>
    </w:p>
    <w:p>
      <w:pPr>
        <w:spacing w:before="280" w:after="100"/>
      </w:pPr>
      <w:r>
        <w:rPr>
          <w:rFonts w:ascii="Arial" w:hAnsi="Arial"/>
          <w:b/>
          <w:color w:val="111827"/>
          <w:sz w:val="26"/>
        </w:rPr>
        <w:t>Purpose of this activity</w:t>
      </w:r>
    </w:p>
    <w:p>
      <w:pPr>
        <w:spacing w:after="120" w:before="0"/>
      </w:pPr>
      <w:r>
        <w:rPr>
          <w:rFonts w:ascii="Arial" w:hAnsi="Arial"/>
          <w:b w:val="0"/>
          <w:i w:val="0"/>
          <w:color w:val="111827"/>
          <w:sz w:val="21"/>
        </w:rPr>
        <w:t>By the end of this activity learners will be able to assemble twenty-three labs of artifacts into one integrated project management plan with a complete index.</w:t>
      </w:r>
    </w:p>
    <w:p>
      <w:pPr>
        <w:spacing w:before="280" w:after="100"/>
      </w:pPr>
      <w:r>
        <w:rPr>
          <w:rFonts w:ascii="Arial" w:hAnsi="Arial"/>
          <w:b/>
          <w:color w:val="111827"/>
          <w:sz w:val="26"/>
        </w:rPr>
        <w:t>What learners produce</w:t>
      </w:r>
    </w:p>
    <w:p>
      <w:pPr>
        <w:spacing w:after="120" w:before="0"/>
      </w:pPr>
      <w:r>
        <w:rPr>
          <w:rFonts w:ascii="Arial" w:hAnsi="Arial"/>
          <w:b w:val="0"/>
          <w:i w:val="0"/>
          <w:color w:val="111827"/>
          <w:sz w:val="21"/>
        </w:rPr>
        <w:t>project management plan, mock exam answers, score analysis — submitted to artifacts/.</w:t>
      </w:r>
    </w:p>
    <w:p>
      <w:pPr>
        <w:spacing w:before="280" w:after="100"/>
      </w:pPr>
      <w:r>
        <w:rPr>
          <w:rFonts w:ascii="Arial" w:hAnsi="Arial"/>
          <w:b/>
          <w:color w:val="111827"/>
          <w:sz w:val="26"/>
        </w:rPr>
        <w:t>Materials required</w:t>
      </w:r>
    </w:p>
    <w:p>
      <w:pPr>
        <w:pStyle w:val="ListBullet"/>
        <w:spacing w:after="40" w:before="0"/>
      </w:pPr>
      <w:r>
        <w:rPr>
          <w:rFonts w:ascii="Arial" w:hAnsi="Arial"/>
          <w:b w:val="0"/>
          <w:i w:val="0"/>
          <w:color w:val="111827"/>
          <w:sz w:val="21"/>
        </w:rPr>
        <w:t>Learner Worksheet (one per learner)</w:t>
      </w:r>
    </w:p>
    <w:p>
      <w:pPr>
        <w:pStyle w:val="ListBullet"/>
        <w:spacing w:after="40" w:before="0"/>
      </w:pPr>
      <w:r>
        <w:rPr>
          <w:rFonts w:ascii="Arial" w:hAnsi="Arial"/>
          <w:b w:val="0"/>
          <w:i w:val="0"/>
          <w:color w:val="111827"/>
          <w:sz w:val="21"/>
        </w:rPr>
        <w:t>Checklist (one per group)</w:t>
      </w:r>
    </w:p>
    <w:p>
      <w:pPr>
        <w:pStyle w:val="ListBullet"/>
        <w:spacing w:after="40" w:before="0"/>
      </w:pPr>
      <w:r>
        <w:rPr>
          <w:rFonts w:ascii="Arial" w:hAnsi="Arial"/>
          <w:b w:val="0"/>
          <w:i w:val="0"/>
          <w:color w:val="111827"/>
          <w:sz w:val="21"/>
        </w:rPr>
        <w:t>The Project Management Templates pack (see the Activities folder)</w:t>
      </w:r>
    </w:p>
    <w:p>
      <w:pPr>
        <w:pStyle w:val="ListBullet"/>
        <w:spacing w:after="40" w:before="0"/>
      </w:pPr>
      <w:r>
        <w:rPr>
          <w:rFonts w:ascii="Arial" w:hAnsi="Arial"/>
          <w:b w:val="0"/>
          <w:i w:val="0"/>
          <w:color w:val="111827"/>
          <w:sz w:val="21"/>
        </w:rPr>
        <w:t>Flipchart or A3 sheet and markers</w:t>
      </w:r>
    </w:p>
    <w:p>
      <w:pPr>
        <w:pStyle w:val="ListBullet"/>
        <w:spacing w:after="40" w:before="0"/>
      </w:pPr>
      <w:r>
        <w:rPr>
          <w:rFonts w:ascii="Arial" w:hAnsi="Arial"/>
          <w:b w:val="0"/>
          <w:i w:val="0"/>
          <w:color w:val="111827"/>
          <w:sz w:val="21"/>
        </w:rPr>
        <w:t>Laptop with internet access for the live problem-solving tools</w:t>
      </w:r>
    </w:p>
    <w:p>
      <w:pPr>
        <w:pStyle w:val="ListBullet"/>
        <w:spacing w:after="40" w:before="0"/>
      </w:pPr>
      <w:r>
        <w:rPr>
          <w:rFonts w:ascii="Arial" w:hAnsi="Arial"/>
          <w:b w:val="0"/>
          <w:i w:val="0"/>
          <w:color w:val="111827"/>
          <w:sz w:val="21"/>
        </w:rPr>
        <w:t>The course slides for the framework and worked example</w:t>
      </w:r>
    </w:p>
    <w:p>
      <w:pPr>
        <w:spacing w:before="280" w:after="100"/>
      </w:pPr>
      <w:r>
        <w:rPr>
          <w:rFonts w:ascii="Arial" w:hAnsi="Arial"/>
          <w:b/>
          <w:color w:val="111827"/>
          <w:sz w:val="26"/>
        </w:rPr>
        <w:t>Set-up</w:t>
      </w:r>
    </w:p>
    <w:p>
      <w:pPr>
        <w:spacing w:after="120" w:before="0"/>
      </w:pPr>
      <w:r>
        <w:rPr>
          <w:rFonts w:ascii="Arial" w:hAnsi="Arial"/>
          <w:b w:val="0"/>
          <w:i w:val="0"/>
          <w:color w:val="111827"/>
          <w:sz w:val="21"/>
        </w:rPr>
        <w:t>Groups of 3 to 4. Distribute one worksheet per learner and one checklist per group; each group needs one laptop for the calculations.</w:t>
      </w:r>
    </w:p>
    <w:p>
      <w:pPr>
        <w:spacing w:before="280" w:after="100"/>
      </w:pPr>
      <w:r>
        <w:rPr>
          <w:rFonts w:ascii="Arial" w:hAnsi="Arial"/>
          <w:b/>
          <w:color w:val="111827"/>
          <w:sz w:val="26"/>
        </w:rPr>
        <w:t>Scenario / briefing material</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before="280" w:after="100"/>
      </w:pPr>
      <w:r>
        <w:rPr>
          <w:rFonts w:ascii="Arial" w:hAnsi="Arial"/>
          <w:b/>
          <w:color w:val="111827"/>
          <w:sz w:val="26"/>
        </w:rPr>
        <w:t>How to run it — step by step</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76"/>
        <w:gridCol w:w="4752"/>
        <w:gridCol w:w="3888"/>
      </w:tblGrid>
      <w:tr>
        <w:tc>
          <w:tcPr>
            <w:tcW w:type="dxa" w:w="3226"/>
            <w:shd w:val="clear" w:fill="1F6FEB"/>
          </w:tcPr>
          <w:p>
            <w:pPr>
              <w:spacing w:after="0" w:before="0"/>
            </w:pPr>
            <w:r/>
            <w:r>
              <w:rPr>
                <w:rFonts w:ascii="Arial" w:hAnsi="Arial"/>
                <w:b/>
                <w:color w:val="FFFFFF"/>
                <w:sz w:val="18"/>
              </w:rPr>
              <w:t>#</w:t>
            </w:r>
          </w:p>
        </w:tc>
        <w:tc>
          <w:tcPr>
            <w:tcW w:type="dxa" w:w="3226"/>
            <w:shd w:val="clear" w:fill="1F6FEB"/>
          </w:tcPr>
          <w:p>
            <w:pPr>
              <w:spacing w:after="0" w:before="0"/>
            </w:pPr>
            <w:r/>
            <w:r>
              <w:rPr>
                <w:rFonts w:ascii="Arial" w:hAnsi="Arial"/>
                <w:b/>
                <w:color w:val="FFFFFF"/>
                <w:sz w:val="18"/>
              </w:rPr>
              <w:t>Instruction to learners</w:t>
            </w:r>
          </w:p>
        </w:tc>
        <w:tc>
          <w:tcPr>
            <w:tcW w:type="dxa" w:w="3226"/>
            <w:shd w:val="clear" w:fill="1F6FEB"/>
          </w:tcPr>
          <w:p>
            <w:pPr>
              <w:spacing w:after="0" w:before="0"/>
            </w:pPr>
            <w:r/>
            <w:r>
              <w:rPr>
                <w:rFonts w:ascii="Arial" w:hAnsi="Arial"/>
                <w:b/>
                <w:color w:val="FFFFFF"/>
                <w:sz w:val="18"/>
              </w:rPr>
              <w:t>Facilitator note</w:t>
            </w:r>
          </w:p>
        </w:tc>
      </w:tr>
      <w:tr>
        <w:tc>
          <w:tcPr>
            <w:tcW w:type="dxa" w:w="576"/>
          </w:tcPr>
          <w:p>
            <w:pPr>
              <w:spacing w:after="0" w:before="0"/>
            </w:pPr>
            <w:r/>
            <w:r>
              <w:rPr>
                <w:rFonts w:ascii="Arial" w:hAnsi="Arial"/>
                <w:b/>
                <w:color w:val="1F6FEB"/>
                <w:sz w:val="18"/>
              </w:rPr>
              <w:t>1</w:t>
            </w:r>
          </w:p>
        </w:tc>
        <w:tc>
          <w:tcPr>
            <w:tcW w:type="dxa" w:w="4752"/>
          </w:tcPr>
          <w:p>
            <w:pPr>
              <w:spacing w:after="0" w:before="0"/>
            </w:pPr>
            <w:r/>
            <w:r>
              <w:rPr>
                <w:rFonts w:ascii="Arial" w:hAnsi="Arial"/>
                <w:b w:val="0"/>
                <w:color w:val="111827"/>
                <w:sz w:val="18"/>
              </w:rPr>
              <w:t>Build the plan index. Create artifacts/24-project-management-plan.md. Every component must trace to the lab that produced it. Mark any component you have not produced as a gap.</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2</w:t>
            </w:r>
          </w:p>
        </w:tc>
        <w:tc>
          <w:tcPr>
            <w:tcW w:type="dxa" w:w="4752"/>
          </w:tcPr>
          <w:p>
            <w:pPr>
              <w:spacing w:after="0" w:before="0"/>
            </w:pPr>
            <w:r/>
            <w:r>
              <w:rPr>
                <w:rFonts w:ascii="Arial" w:hAnsi="Arial"/>
                <w:b w:val="0"/>
                <w:color w:val="111827"/>
                <w:sz w:val="18"/>
              </w:rPr>
              <w:t>Run the consistency audit. This is the highest-value 15 minutes in Part A. A plan whose numbers disagree with each other is not a plan; it is a folder. Check each assertion and record the result honestly.</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3</w:t>
            </w:r>
          </w:p>
        </w:tc>
        <w:tc>
          <w:tcPr>
            <w:tcW w:type="dxa" w:w="4752"/>
          </w:tcPr>
          <w:p>
            <w:pPr>
              <w:spacing w:after="0" w:before="0"/>
            </w:pPr>
            <w:r/>
            <w:r>
              <w:rPr>
                <w:rFonts w:ascii="Arial" w:hAnsi="Arial"/>
                <w:b w:val="0"/>
                <w:color w:val="111827"/>
                <w:sz w:val="18"/>
              </w:rPr>
              <w:t>Prepare the 5-minute executive presentation. The sponsor gives you five minutes at the Board. Structure it deliberately: executives need the conclusion first.</w:t>
            </w:r>
          </w:p>
        </w:tc>
        <w:tc>
          <w:tcPr>
            <w:tcW w:type="dxa" w:w="3888"/>
          </w:tcPr>
          <w:p>
            <w:pPr>
              <w:spacing w:after="0" w:before="0"/>
            </w:pPr>
            <w:r/>
            <w:r>
              <w:rPr>
                <w:rFonts w:ascii="Arial" w:hAnsi="Arial"/>
                <w:b w:val="0"/>
                <w:color w:val="555F6D"/>
                <w:sz w:val="18"/>
              </w:rPr>
              <w:t>Have one group present a single row rather than the whole artifact — depth over coverage.</w:t>
            </w:r>
          </w:p>
        </w:tc>
      </w:tr>
    </w:tbl>
    <w:p>
      <w:pPr>
        <w:spacing w:before="280" w:after="100"/>
      </w:pPr>
      <w:r>
        <w:rPr>
          <w:rFonts w:ascii="Arial" w:hAnsi="Arial"/>
          <w:b/>
          <w:color w:val="111827"/>
          <w:sz w:val="26"/>
        </w:rPr>
        <w:t>Suggested timing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96"/>
        <w:gridCol w:w="7776"/>
      </w:tblGrid>
      <w:tr>
        <w:tc>
          <w:tcPr>
            <w:tcW w:type="dxa" w:w="4839"/>
            <w:shd w:val="clear" w:fill="1F6FEB"/>
          </w:tcPr>
          <w:p>
            <w:pPr>
              <w:spacing w:after="0" w:before="0"/>
            </w:pPr>
            <w:r/>
            <w:r>
              <w:rPr>
                <w:rFonts w:ascii="Arial" w:hAnsi="Arial"/>
                <w:b/>
                <w:color w:val="FFFFFF"/>
                <w:sz w:val="18"/>
              </w:rPr>
              <w:t>Minutes</w:t>
            </w:r>
          </w:p>
        </w:tc>
        <w:tc>
          <w:tcPr>
            <w:tcW w:type="dxa" w:w="4839"/>
            <w:shd w:val="clear" w:fill="1F6FEB"/>
          </w:tcPr>
          <w:p>
            <w:pPr>
              <w:spacing w:after="0" w:before="0"/>
            </w:pPr>
            <w:r/>
            <w:r>
              <w:rPr>
                <w:rFonts w:ascii="Arial" w:hAnsi="Arial"/>
                <w:b/>
                <w:color w:val="FFFFFF"/>
                <w:sz w:val="18"/>
              </w:rPr>
              <w:t>Phase</w:t>
            </w:r>
          </w:p>
        </w:tc>
      </w:tr>
      <w:tr>
        <w:tc>
          <w:tcPr>
            <w:tcW w:type="dxa" w:w="1296"/>
          </w:tcPr>
          <w:p>
            <w:pPr>
              <w:spacing w:after="0" w:before="0"/>
            </w:pPr>
            <w:r/>
            <w:r>
              <w:rPr>
                <w:rFonts w:ascii="Arial" w:hAnsi="Arial"/>
                <w:b/>
                <w:color w:val="1F6FEB"/>
                <w:sz w:val="18"/>
              </w:rPr>
              <w:t>12 min</w:t>
            </w:r>
          </w:p>
        </w:tc>
        <w:tc>
          <w:tcPr>
            <w:tcW w:type="dxa" w:w="7776"/>
          </w:tcPr>
          <w:p>
            <w:pPr>
              <w:spacing w:after="0" w:before="0"/>
            </w:pPr>
            <w:r/>
            <w:r>
              <w:rPr>
                <w:rFonts w:ascii="Arial" w:hAnsi="Arial"/>
                <w:b w:val="0"/>
                <w:color w:val="111827"/>
                <w:sz w:val="18"/>
              </w:rPr>
              <w:t>Brief the scenario, confirm the inputs and assign roles</w:t>
            </w:r>
          </w:p>
        </w:tc>
      </w:tr>
      <w:tr>
        <w:tc>
          <w:tcPr>
            <w:tcW w:type="dxa" w:w="1296"/>
          </w:tcPr>
          <w:p>
            <w:pPr>
              <w:spacing w:after="0" w:before="0"/>
            </w:pPr>
            <w:r/>
            <w:r>
              <w:rPr>
                <w:rFonts w:ascii="Arial" w:hAnsi="Arial"/>
                <w:b/>
                <w:color w:val="1F6FEB"/>
                <w:sz w:val="18"/>
              </w:rPr>
              <w:t>45 min</w:t>
            </w:r>
          </w:p>
        </w:tc>
        <w:tc>
          <w:tcPr>
            <w:tcW w:type="dxa" w:w="7776"/>
          </w:tcPr>
          <w:p>
            <w:pPr>
              <w:spacing w:after="0" w:before="0"/>
            </w:pPr>
            <w:r/>
            <w:r>
              <w:rPr>
                <w:rFonts w:ascii="Arial" w:hAnsi="Arial"/>
                <w:b w:val="0"/>
                <w:color w:val="111827"/>
                <w:sz w:val="18"/>
              </w:rPr>
              <w:t>Work the first half of the steps individually, then pool as a group</w:t>
            </w:r>
          </w:p>
        </w:tc>
      </w:tr>
      <w:tr>
        <w:tc>
          <w:tcPr>
            <w:tcW w:type="dxa" w:w="1296"/>
          </w:tcPr>
          <w:p>
            <w:pPr>
              <w:spacing w:after="0" w:before="0"/>
            </w:pPr>
            <w:r/>
            <w:r>
              <w:rPr>
                <w:rFonts w:ascii="Arial" w:hAnsi="Arial"/>
                <w:b/>
                <w:color w:val="1F6FEB"/>
                <w:sz w:val="18"/>
              </w:rPr>
              <w:t>45 min</w:t>
            </w:r>
          </w:p>
        </w:tc>
        <w:tc>
          <w:tcPr>
            <w:tcW w:type="dxa" w:w="7776"/>
          </w:tcPr>
          <w:p>
            <w:pPr>
              <w:spacing w:after="0" w:before="0"/>
            </w:pPr>
            <w:r/>
            <w:r>
              <w:rPr>
                <w:rFonts w:ascii="Arial" w:hAnsi="Arial"/>
                <w:b w:val="0"/>
                <w:color w:val="111827"/>
                <w:sz w:val="18"/>
              </w:rPr>
              <w:t>Complete the remaining steps and finalise the deliverable</w:t>
            </w:r>
          </w:p>
        </w:tc>
      </w:tr>
      <w:tr>
        <w:tc>
          <w:tcPr>
            <w:tcW w:type="dxa" w:w="1296"/>
          </w:tcPr>
          <w:p>
            <w:pPr>
              <w:spacing w:after="0" w:before="0"/>
            </w:pPr>
            <w:r/>
            <w:r>
              <w:rPr>
                <w:rFonts w:ascii="Arial" w:hAnsi="Arial"/>
                <w:b/>
                <w:color w:val="1F6FEB"/>
                <w:sz w:val="18"/>
              </w:rPr>
              <w:t>18 min</w:t>
            </w:r>
          </w:p>
        </w:tc>
        <w:tc>
          <w:tcPr>
            <w:tcW w:type="dxa" w:w="7776"/>
          </w:tcPr>
          <w:p>
            <w:pPr>
              <w:spacing w:after="0" w:before="0"/>
            </w:pPr>
            <w:r/>
            <w:r>
              <w:rPr>
                <w:rFonts w:ascii="Arial" w:hAnsi="Arial"/>
                <w:b w:val="0"/>
                <w:color w:val="111827"/>
                <w:sz w:val="18"/>
              </w:rPr>
              <w:t>Group share-back, facilitator debrief and exam-style linkage</w:t>
            </w:r>
          </w:p>
        </w:tc>
      </w:tr>
    </w:tbl>
    <w:p>
      <w:pPr>
        <w:spacing w:after="120" w:before="120"/>
      </w:pPr>
      <w:r>
        <w:rPr>
          <w:rFonts w:ascii="Arial" w:hAnsi="Arial"/>
          <w:b/>
          <w:i w:val="0"/>
          <w:color w:val="111827"/>
          <w:sz w:val="21"/>
        </w:rPr>
        <w:t>Total: 120 minutes (Part A 50 minutes, Part B 70 minutes)</w:t>
      </w:r>
    </w:p>
    <w:p>
      <w:pPr>
        <w:spacing w:before="280" w:after="100"/>
      </w:pPr>
      <w:r>
        <w:rPr>
          <w:rFonts w:ascii="Arial" w:hAnsi="Arial"/>
          <w:b/>
          <w:color w:val="111827"/>
          <w:sz w:val="26"/>
        </w:rPr>
        <w:t>Discussion &amp; decision prompts</w:t>
      </w:r>
    </w:p>
    <w:p>
      <w:pPr>
        <w:pStyle w:val="ListNumber"/>
        <w:spacing w:after="60" w:before="0"/>
      </w:pPr>
      <w:r>
        <w:rPr>
          <w:rFonts w:ascii="Arial" w:hAnsi="Arial"/>
          <w:b w:val="0"/>
          <w:i w:val="0"/>
          <w:color w:val="111827"/>
          <w:sz w:val="21"/>
        </w:rPr>
        <w:t>Assemble twenty-three labs of artifacts into one integrated project management plan with a complete index — how did your group decide, and what would change that decision?</w:t>
      </w:r>
    </w:p>
    <w:p>
      <w:pPr>
        <w:pStyle w:val="ListNumber"/>
        <w:spacing w:after="60" w:before="0"/>
      </w:pPr>
      <w:r>
        <w:rPr>
          <w:rFonts w:ascii="Arial" w:hAnsi="Arial"/>
          <w:b w:val="0"/>
          <w:i w:val="0"/>
          <w:color w:val="111827"/>
          <w:sz w:val="21"/>
        </w:rPr>
        <w:t>Explain the three baselines and the performance measurement baseline, and locate each in your own work — how did your group decide, and what would change that decision?</w:t>
      </w:r>
    </w:p>
    <w:p>
      <w:pPr>
        <w:pStyle w:val="ListNumber"/>
        <w:spacing w:after="60" w:before="0"/>
      </w:pPr>
      <w:r>
        <w:rPr>
          <w:rFonts w:ascii="Arial" w:hAnsi="Arial"/>
          <w:b w:val="0"/>
          <w:i w:val="0"/>
          <w:color w:val="111827"/>
          <w:sz w:val="21"/>
        </w:rPr>
        <w:t>Run a consistency audit that proves the numbers agree across artifacts, and record the discrepancies you find — how did your group decide, and what would change that decision?</w:t>
      </w:r>
    </w:p>
    <w:p>
      <w:pPr>
        <w:pStyle w:val="ListNumber"/>
        <w:spacing w:after="60" w:before="0"/>
      </w:pPr>
      <w:r>
        <w:rPr>
          <w:rFonts w:ascii="Arial" w:hAnsi="Arial"/>
          <w:b w:val="0"/>
          <w:i w:val="0"/>
          <w:color w:val="111827"/>
          <w:sz w:val="21"/>
        </w:rPr>
        <w:t>Your plan index accounts for all three baselines separately AND the performance measurement baseline, and you did not confuse the cost baseline with the PMB — can every member of your group defend it?</w:t>
      </w:r>
    </w:p>
    <w:p>
      <w:pPr>
        <w:pStyle w:val="ListNumber"/>
        <w:spacing w:after="60" w:before="0"/>
      </w:pPr>
      <w:r>
        <w:rPr>
          <w:rFonts w:ascii="Arial" w:hAnsi="Arial"/>
          <w:b w:val="0"/>
          <w:i w:val="0"/>
          <w:color w:val="111827"/>
          <w:sz w:val="21"/>
        </w:rPr>
        <w:t>Where would capstone: integrated project management plan and mock exam have saved you time or money on a real project you have worked on?</w:t>
      </w:r>
    </w:p>
    <w:p>
      <w:pPr>
        <w:spacing w:before="280" w:after="100"/>
      </w:pPr>
      <w:r>
        <w:rPr>
          <w:rFonts w:ascii="Arial" w:hAnsi="Arial"/>
          <w:b/>
          <w:color w:val="111827"/>
          <w:sz w:val="26"/>
        </w:rPr>
        <w:t>What good looks like</w:t>
      </w:r>
    </w:p>
    <w:p>
      <w:pPr>
        <w:pStyle w:val="ListBullet"/>
        <w:spacing w:after="40" w:before="0"/>
      </w:pPr>
      <w:r>
        <w:rPr>
          <w:rFonts w:ascii="Arial" w:hAnsi="Arial"/>
          <w:b w:val="0"/>
          <w:i w:val="0"/>
          <w:color w:val="111827"/>
          <w:sz w:val="21"/>
        </w:rPr>
        <w:t>Your plan index accounts for all three baselines separately AND the performance measurement baseline, and you did not confuse the cost baseline with the PMB.</w:t>
      </w:r>
    </w:p>
    <w:p>
      <w:pPr>
        <w:pStyle w:val="ListBullet"/>
        <w:spacing w:after="40" w:before="0"/>
      </w:pPr>
      <w:r>
        <w:rPr>
          <w:rFonts w:ascii="Arial" w:hAnsi="Arial"/>
          <w:b w:val="0"/>
          <w:i w:val="0"/>
          <w:color w:val="111827"/>
          <w:sz w:val="21"/>
        </w:rPr>
        <w:t>You can state that the scope baseline has three components, and name all three.</w:t>
      </w:r>
    </w:p>
    <w:p>
      <w:pPr>
        <w:pStyle w:val="ListBullet"/>
        <w:spacing w:after="40" w:before="0"/>
      </w:pPr>
      <w:r>
        <w:rPr>
          <w:rFonts w:ascii="Arial" w:hAnsi="Arial"/>
          <w:b w:val="0"/>
          <w:i w:val="0"/>
          <w:color w:val="111827"/>
          <w:sz w:val="21"/>
        </w:rPr>
        <w:t>You can state that the PMB includes contingency reserve and excludes management reserve, and explain why using management reserve requires a baseline change while using contingency does not.</w:t>
      </w:r>
    </w:p>
    <w:p>
      <w:pPr>
        <w:pStyle w:val="ListBullet"/>
        <w:spacing w:after="40" w:before="0"/>
      </w:pPr>
      <w:r>
        <w:rPr>
          <w:rFonts w:ascii="Arial" w:hAnsi="Arial"/>
          <w:b w:val="0"/>
          <w:i w:val="0"/>
          <w:color w:val="111827"/>
          <w:sz w:val="21"/>
        </w:rPr>
        <w:t>You actually computed the PV sum in audit A-3 rather than asserting it, and got SGD 480,000.</w:t>
      </w:r>
    </w:p>
    <w:p>
      <w:pPr>
        <w:pStyle w:val="ListBullet"/>
        <w:spacing w:after="40" w:before="0"/>
      </w:pPr>
      <w:r>
        <w:rPr>
          <w:rFonts w:ascii="Arial" w:hAnsi="Arial"/>
          <w:b w:val="0"/>
          <w:i w:val="0"/>
          <w:color w:val="111827"/>
          <w:sz w:val="21"/>
        </w:rPr>
        <w:t>Your audit of A-5 goes beyond ticking the equality and observes that a reserve set at exactly EMV was fully consumed with ten weeks remaining.</w:t>
      </w:r>
    </w:p>
    <w:p>
      <w:pPr>
        <w:pStyle w:val="ListBullet"/>
        <w:spacing w:after="40" w:before="0"/>
      </w:pPr>
      <w:r>
        <w:rPr>
          <w:rFonts w:ascii="Arial" w:hAnsi="Arial"/>
          <w:b w:val="0"/>
          <w:i w:val="0"/>
          <w:color w:val="111827"/>
          <w:sz w:val="21"/>
        </w:rPr>
        <w:t>You found and recorded at least one genuine discrepancy across your own 23 labs of artifacts. Finding none almost always means you compared the presence of numbers rather than the numbers themselves.</w:t>
      </w:r>
    </w:p>
    <w:p>
      <w:pPr>
        <w:pStyle w:val="ListBullet"/>
        <w:spacing w:after="40" w:before="0"/>
      </w:pPr>
      <w:r>
        <w:rPr>
          <w:rFonts w:ascii="Arial" w:hAnsi="Arial"/>
          <w:b w:val="0"/>
          <w:i w:val="0"/>
          <w:color w:val="111827"/>
          <w:sz w:val="21"/>
        </w:rPr>
        <w:t>You took the mock exam in 40 minutes with a timer, without stopping, and without looking at the key.</w:t>
      </w:r>
    </w:p>
    <w:p>
      <w:pPr>
        <w:pStyle w:val="ListBullet"/>
        <w:spacing w:after="40" w:before="0"/>
      </w:pPr>
      <w:r>
        <w:rPr>
          <w:rFonts w:ascii="Arial" w:hAnsi="Arial"/>
          <w:b w:val="0"/>
          <w:i w:val="0"/>
          <w:color w:val="111827"/>
          <w:sz w:val="21"/>
        </w:rPr>
        <w:t>Your answers were recorded before you read any rationale.</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