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78"/>
      </w:tblGrid>
      <w:tr>
        <w:tc>
          <w:tcPr>
            <w:tcW w:type="dxa" w:w="9678"/>
            <w:shd w:val="clear" w:color="auto" w:fill="1F6FEB"/>
          </w:tcPr>
          <w:p>
            <w:r>
              <w:rPr>
                <w:b/>
                <w:color w:val="FFFFFF"/>
                <w:sz w:val="20"/>
              </w:rPr>
              <w:t>Tertiary Infotech Academy Pte Ltd</w:t>
            </w:r>
          </w:p>
          <w:p>
            <w:r>
              <w:rPr>
                <w:color w:val="FFFFFF"/>
                <w:sz w:val="17"/>
              </w:rPr>
              <w:t>Certified Lean Six Sigma Yellow Belt (CLSSYB)  ·  C524</w:t>
            </w:r>
          </w:p>
        </w:tc>
      </w:tr>
    </w:tbl>
    <w:p>
      <w:r>
        <w:rPr>
          <w:b/>
          <w:color w:val="1F6FEB"/>
          <w:sz w:val="24"/>
        </w:rPr>
        <w:t>ACTIVITY 9 — CHECKLIST</w:t>
      </w:r>
    </w:p>
    <w:p>
      <w:r>
        <w:rPr>
          <w:b/>
          <w:color w:val="111827"/>
          <w:sz w:val="30"/>
        </w:rPr>
        <w:t>Countermeasures, 5S, Mistake Proofing, Standard Work, and Kaizen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2419"/>
        <w:gridCol w:w="2419"/>
        <w:gridCol w:w="2419"/>
      </w:tblGrid>
      <w:tr>
        <w:tc>
          <w:tcPr>
            <w:tcW w:type="dxa" w:w="3225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TYPE</w:t>
            </w:r>
          </w:p>
          <w:p>
            <w:r>
              <w:rPr>
                <w:color w:val="111827"/>
                <w:sz w:val="18"/>
              </w:rPr>
              <w:t>Core Activity</w:t>
            </w:r>
          </w:p>
        </w:tc>
        <w:tc>
          <w:tcPr>
            <w:tcW w:type="dxa" w:w="3225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DURATION</w:t>
            </w:r>
          </w:p>
          <w:p>
            <w:r>
              <w:rPr>
                <w:color w:val="111827"/>
                <w:sz w:val="18"/>
              </w:rPr>
              <w:t>60 min</w:t>
            </w:r>
          </w:p>
        </w:tc>
        <w:tc>
          <w:tcPr>
            <w:tcW w:type="dxa" w:w="3225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DMAIC PHASE</w:t>
            </w:r>
          </w:p>
          <w:p>
            <w:r>
              <w:rPr>
                <w:color w:val="111827"/>
                <w:sz w:val="18"/>
              </w:rPr>
              <w:t>IMPROVE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39"/>
        <w:gridCol w:w="4839"/>
      </w:tblGrid>
      <w:tr>
        <w:tc>
          <w:tcPr>
            <w:tcW w:type="dxa" w:w="4839"/>
            <w:shd w:val="clear" w:color="auto" w:fill="F5F8FC"/>
          </w:tcPr>
          <w:p>
            <w:r/>
            <w:r>
              <w:rPr>
                <w:b/>
                <w:sz w:val="19"/>
              </w:rPr>
              <w:t>Name</w:t>
            </w:r>
          </w:p>
        </w:tc>
        <w:tc>
          <w:tcPr>
            <w:tcW w:type="dxa" w:w="4839"/>
          </w:tcPr>
          <w:p>
            <w:r/>
          </w:p>
        </w:tc>
      </w:tr>
      <w:tr>
        <w:tc>
          <w:tcPr>
            <w:tcW w:type="dxa" w:w="4839"/>
            <w:shd w:val="clear" w:color="auto" w:fill="F5F8FC"/>
          </w:tcPr>
          <w:p>
            <w:r/>
            <w:r>
              <w:rPr>
                <w:b/>
                <w:sz w:val="19"/>
              </w:rPr>
              <w:t>Date</w:t>
            </w:r>
          </w:p>
        </w:tc>
        <w:tc>
          <w:tcPr>
            <w:tcW w:type="dxa" w:w="4839"/>
          </w:tcPr>
          <w:p>
            <w:r/>
          </w:p>
        </w:tc>
      </w:tr>
    </w:tbl>
    <w:p/>
    <w:p>
      <w:pPr>
        <w:pStyle w:val="Heading2"/>
      </w:pPr>
      <w:r>
        <w:t>Self-check — Countermeasures, 5S, Mistake Proofing, Standard Work, and Kaizen</w:t>
      </w:r>
    </w:p>
    <w:p>
      <w:r>
        <w:t>Tick each item you have completed. Any blank is a gap to close before your group presents at the debrief.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9"/>
        <w:gridCol w:w="2419"/>
        <w:gridCol w:w="2419"/>
        <w:gridCol w:w="2419"/>
      </w:tblGrid>
      <w:tr>
        <w:tc>
          <w:tcPr>
            <w:tcW w:type="dxa" w:w="2419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419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Criterion</w:t>
            </w:r>
          </w:p>
        </w:tc>
        <w:tc>
          <w:tcPr>
            <w:tcW w:type="dxa" w:w="2419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Evidences</w:t>
            </w:r>
          </w:p>
        </w:tc>
        <w:tc>
          <w:tcPr>
            <w:tcW w:type="dxa" w:w="2419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✓</w:t>
            </w:r>
          </w:p>
        </w:tc>
      </w:tr>
      <w:tr>
        <w:tc>
          <w:tcPr>
            <w:tcW w:type="dxa" w:w="2419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Every countermeasure traces back to a proven root cause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IMPROVE</w:t>
            </w:r>
          </w:p>
        </w:tc>
        <w:tc>
          <w:tcPr>
            <w:tcW w:type="dxa" w:w="2419"/>
          </w:tcPr>
          <w:p>
            <w:r/>
          </w:p>
        </w:tc>
      </w:tr>
      <w:tr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Countermeasures prioritised on an impact vs effort matrix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IMPROVE</w:t>
            </w:r>
          </w:p>
        </w:tc>
        <w:tc>
          <w:tcPr>
            <w:tcW w:type="dxa" w:w="2419"/>
            <w:shd w:val="clear" w:color="auto" w:fill="F5F8FC"/>
          </w:tcPr>
          <w:p>
            <w:r/>
          </w:p>
        </w:tc>
      </w:tr>
      <w:tr>
        <w:tc>
          <w:tcPr>
            <w:tcW w:type="dxa" w:w="2419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5S applied to at least two of the five S's for an information process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IMPROVE</w:t>
            </w:r>
          </w:p>
        </w:tc>
        <w:tc>
          <w:tcPr>
            <w:tcW w:type="dxa" w:w="2419"/>
          </w:tcPr>
          <w:p>
            <w:r/>
          </w:p>
        </w:tc>
      </w:tr>
      <w:tr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One poka-yoke designed that prevents rather than detects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IMPROVE</w:t>
            </w:r>
          </w:p>
        </w:tc>
        <w:tc>
          <w:tcPr>
            <w:tcW w:type="dxa" w:w="2419"/>
            <w:shd w:val="clear" w:color="auto" w:fill="F5F8FC"/>
          </w:tcPr>
          <w:p>
            <w:r/>
          </w:p>
        </w:tc>
      </w:tr>
      <w:tr>
        <w:tc>
          <w:tcPr>
            <w:tcW w:type="dxa" w:w="2419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Standard work drafted so anyone could repeat the method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IMPROVE</w:t>
            </w:r>
          </w:p>
        </w:tc>
        <w:tc>
          <w:tcPr>
            <w:tcW w:type="dxa" w:w="2419"/>
          </w:tcPr>
          <w:p>
            <w:r/>
          </w:p>
        </w:tc>
      </w:tr>
      <w:tr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6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A pilot or Kaizen event planned at small scale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IMPROVE</w:t>
            </w:r>
          </w:p>
        </w:tc>
        <w:tc>
          <w:tcPr>
            <w:tcW w:type="dxa" w:w="2419"/>
            <w:shd w:val="clear" w:color="auto" w:fill="F5F8FC"/>
          </w:tcPr>
          <w:p>
            <w:r/>
          </w:p>
        </w:tc>
      </w:tr>
    </w:tbl>
    <w:p/>
    <w:p>
      <w:pPr>
        <w:pStyle w:val="Heading2"/>
      </w:pPr>
      <w:r>
        <w:t>Debrief check</w:t>
      </w:r>
    </w:p>
    <w:p>
      <w:r>
        <w:rPr>
          <w:sz w:val="21"/>
        </w:rPr>
        <w:t>Every countermeasure traces back to a proven root cause, and your poka-yoke prevents rather than detects the error.</w:t>
      </w:r>
    </w:p>
    <w:p>
      <w:pPr>
        <w:pStyle w:val="Heading2"/>
      </w:pPr>
      <w:r>
        <w:t>Feedback</w:t>
      </w:r>
    </w:p>
    <w:p>
      <w:r>
        <w:rPr>
          <w:b/>
          <w:sz w:val="20"/>
        </w:rPr>
        <w:t>What did you find hardest in this activity?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b/>
          <w:sz w:val="20"/>
        </w:rPr>
        <w:t>What is the ONE thing you will do differently at work?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i/>
          <w:color w:val="555B66"/>
          <w:sz w:val="16"/>
        </w:rPr>
        <w:t>Certified Lean Six Sigma Yellow Belt (CLSSYB) · C524 · Version v1 · © 2026 Tertiary Infotech Academy Pte Ltd</w:t>
      </w:r>
    </w:p>
    <w:sectPr w:rsidR="00FC693F" w:rsidRPr="0006063C" w:rsidSect="00034616">
      <w:footerReference w:type="default" r:id="rId9"/>
      <w:headerReference w:type="default" r:id="rId10"/>
      <w:footerReference w:type="first" r:id="rId11"/>
      <w:headerReference w:type="first" r:id="rId12"/>
      <w:footerReference w:type="even" r:id="rId13"/>
      <w:pgSz w:w="12240" w:h="15840"/>
      <w:pgMar w:top="1134" w:right="1281" w:bottom="1134" w:left="12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footer" Target="footer2.xml"/><Relationship Id="rId12" Type="http://schemas.openxmlformats.org/officeDocument/2006/relationships/header" Target="header2.xml"/><Relationship Id="rId13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