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10 — CHECKLIST</w:t>
      </w:r>
    </w:p>
    <w:p>
      <w:r>
        <w:rPr>
          <w:b/>
          <w:color w:val="111827"/>
          <w:sz w:val="30"/>
        </w:rPr>
        <w:t>Control Plan, A3 Summary, Handover, and Certification Readiness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Control Plan, A3 Summary, Handover, and Certification Readiness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 plan names metric, target, monitoring method, frequency, owner and reaction plan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control plan row has a NAMED owner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Reaction plan states exactly what happens when a metric goes out of target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Visual management approach defined (board, dashboard or huddle)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A3 fits on ONE page and covers background through follow-up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Handover checklist complete enough for the owner to accept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Personal certification readiness plan completed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control plan row has a named owner and a reaction plan, and your A3 fits on one page.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