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11 — CHECKLIST</w:t>
      </w:r>
    </w:p>
    <w:p>
      <w:r>
        <w:rPr>
          <w:b/>
          <w:color w:val="111827"/>
          <w:sz w:val="30"/>
        </w:rPr>
        <w:t>Affinity Diagram and Kano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Affinity Diagram and Kano Analysis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VOC note sits in exactly one named affinity group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Groups named after the theme, not the first note in them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requirement classified Must-Be, One-Dimensional or Delighter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Requirements plotted on the Kano diagram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Investment priority identified and justified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VOC note sits in exactly one named affinity group and carries a Kano classification.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