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  C524</w:t>
            </w:r>
          </w:p>
        </w:tc>
      </w:tr>
    </w:tbl>
    <w:p>
      <w:r>
        <w:rPr>
          <w:b/>
          <w:color w:val="1F6FEB"/>
          <w:sz w:val="24"/>
        </w:rPr>
        <w:t>ACTIVITY 11 — FACILITATOR GUIDE</w:t>
      </w:r>
    </w:p>
    <w:p>
      <w:r>
        <w:rPr>
          <w:b/>
          <w:color w:val="111827"/>
          <w:sz w:val="30"/>
        </w:rPr>
        <w:t>Affinity Diagram and Kano Analysis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tblGrid>
      <w:tr>
        <w:tc>
          <w:tcPr>
            <w:tcW w:type="dxa" w:w="3225"/>
            <w:shd w:val="clear" w:color="auto" w:fill="F5F8FC"/>
          </w:tcPr>
          <w:p>
            <w:r>
              <w:rPr>
                <w:b/>
                <w:color w:val="1F6FEB"/>
                <w:sz w:val="15"/>
              </w:rPr>
              <w:t>TYPE</w:t>
            </w:r>
          </w:p>
          <w:p>
            <w:r>
              <w:rPr>
                <w:color w:val="111827"/>
                <w:sz w:val="18"/>
              </w:rPr>
              <w:t>Elective Activity</w:t>
            </w:r>
          </w:p>
        </w:tc>
        <w:tc>
          <w:tcPr>
            <w:tcW w:type="dxa" w:w="3225"/>
            <w:shd w:val="clear" w:color="auto" w:fill="F5F8FC"/>
          </w:tcPr>
          <w:p>
            <w:r>
              <w:rPr>
                <w:b/>
                <w:color w:val="1F6FEB"/>
                <w:sz w:val="15"/>
              </w:rPr>
              <w:t>DURATION</w:t>
            </w:r>
          </w:p>
          <w:p>
            <w:r>
              <w:rPr>
                <w:color w:val="111827"/>
                <w:sz w:val="18"/>
              </w:rPr>
              <w:t>45 min</w:t>
            </w:r>
          </w:p>
        </w:tc>
        <w:tc>
          <w:tcPr>
            <w:tcW w:type="dxa" w:w="3225"/>
            <w:shd w:val="clear" w:color="auto" w:fill="F5F8FC"/>
          </w:tcPr>
          <w:p>
            <w:r>
              <w:rPr>
                <w:b/>
                <w:color w:val="1F6FEB"/>
                <w:sz w:val="15"/>
              </w:rPr>
              <w:t>DMAIC PHASE</w:t>
            </w:r>
          </w:p>
          <w:p>
            <w:r>
              <w:rPr>
                <w:color w:val="111827"/>
                <w:sz w:val="18"/>
              </w:rPr>
              <w:t>DEFINE</w:t>
            </w:r>
          </w:p>
        </w:tc>
      </w:tr>
    </w:tbl>
    <w:p/>
    <w:p>
      <w:pPr>
        <w:pStyle w:val="Heading2"/>
      </w:pPr>
      <w:r>
        <w:t>Purpose of this activity</w:t>
      </w:r>
    </w:p>
    <w:p>
      <w:r>
        <w:t>Organise customer requirements and classify them by satisfaction impact.</w:t>
      </w:r>
    </w:p>
    <w:p>
      <w:r>
        <w:t>Two Define-phase tools from the original course. Use an Affinity Diagram to cluster unstructured VOC input into themes, then apply Kano Analysis to classify requirements as Must-Be, One-Dimensional or Delighter.</w:t>
      </w:r>
    </w:p>
    <w:p>
      <w:pPr>
        <w:pStyle w:val="Heading2"/>
      </w:pPr>
      <w:r>
        <w:t>What learners produce</w:t>
      </w:r>
    </w:p>
    <w:p>
      <w:r>
        <w:t>An Affinity Diagram of named VOC clusters and a Kano classification table identifying where to invest first.</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voice-of-customer.csv — 10 rows (id, customer_statement, source, date)</w:t>
      </w:r>
    </w:p>
    <w:p>
      <w:r>
        <w:rPr>
          <w:b/>
        </w:rPr>
        <w:t>templates/ — the worksheets you complete:</w:t>
      </w:r>
    </w:p>
    <w:p>
      <w:pPr>
        <w:pStyle w:val="ListBullet"/>
      </w:pPr>
      <w:r>
        <w:t>affinity-groups.csv (voc_id, statement, affinity_group)</w:t>
      </w:r>
    </w:p>
    <w:p>
      <w:pPr>
        <w:pStyle w:val="ListBullet"/>
      </w:pPr>
      <w:r>
        <w:t>kano-classification.csv (requirement, kano_class_MustBe_OneDim_Delighter, why, invest_first)</w:t>
      </w:r>
    </w:p>
    <w:p>
      <w:r>
        <w:t>Open these in Excel, Google Sheets or LibreOffice Calc. Work on a copy so the originals stay clean for revision.</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Write each VOC statement on a separate note — one idea per note.</w:t>
            </w:r>
          </w:p>
        </w:tc>
        <w:tc>
          <w:tcPr>
            <w:tcW w:type="dxa" w:w="3226"/>
          </w:tcPr>
          <w:p>
            <w:r/>
            <w:r>
              <w:rPr>
                <w:sz w:val="18"/>
              </w:rPr>
              <w:t>Silent clustering is not optional — talking lets the loudest voice anchor the groups.</w:t>
            </w:r>
          </w:p>
        </w:tc>
      </w:tr>
      <w:tr>
        <w:tc>
          <w:tcPr>
            <w:tcW w:type="dxa" w:w="3226"/>
            <w:shd w:val="clear" w:color="auto" w:fill="F5F8FC"/>
          </w:tcPr>
          <w:p>
            <w:r/>
            <w:r>
              <w:rPr>
                <w:sz w:val="19"/>
              </w:rPr>
              <w:t>2</w:t>
            </w:r>
          </w:p>
        </w:tc>
        <w:tc>
          <w:tcPr>
            <w:tcW w:type="dxa" w:w="3226"/>
            <w:shd w:val="clear" w:color="auto" w:fill="F5F8FC"/>
          </w:tcPr>
          <w:p>
            <w:r/>
            <w:r>
              <w:rPr>
                <w:sz w:val="19"/>
              </w:rPr>
              <w:t>Cluster related notes into natural groups without talking, then name each group.</w:t>
            </w:r>
          </w:p>
        </w:tc>
        <w:tc>
          <w:tcPr>
            <w:tcW w:type="dxa" w:w="3226"/>
            <w:shd w:val="clear" w:color="auto" w:fill="F5F8FC"/>
          </w:tcPr>
          <w:p>
            <w:r/>
            <w:r>
              <w:rPr>
                <w:sz w:val="18"/>
              </w:rPr>
              <w:t>Must-Be requirements are invisible when met and fatal when missed; test with an example.</w:t>
            </w:r>
          </w:p>
        </w:tc>
      </w:tr>
      <w:tr>
        <w:tc>
          <w:tcPr>
            <w:tcW w:type="dxa" w:w="3226"/>
          </w:tcPr>
          <w:p>
            <w:r/>
            <w:r>
              <w:rPr>
                <w:sz w:val="19"/>
              </w:rPr>
              <w:t>3</w:t>
            </w:r>
          </w:p>
        </w:tc>
        <w:tc>
          <w:tcPr>
            <w:tcW w:type="dxa" w:w="3226"/>
          </w:tcPr>
          <w:p>
            <w:r/>
            <w:r>
              <w:rPr>
                <w:sz w:val="19"/>
              </w:rPr>
              <w:t>Classify each requirement as Must-Be, One-Dimensional or Delighter.</w:t>
            </w:r>
          </w:p>
        </w:tc>
        <w:tc>
          <w:tcPr>
            <w:tcW w:type="dxa" w:w="3226"/>
          </w:tcPr>
          <w:p>
            <w:r/>
            <w:r>
              <w:rPr>
                <w:sz w:val="18"/>
              </w:rPr>
            </w:r>
          </w:p>
        </w:tc>
      </w:tr>
      <w:tr>
        <w:tc>
          <w:tcPr>
            <w:tcW w:type="dxa" w:w="3226"/>
            <w:shd w:val="clear" w:color="auto" w:fill="F5F8FC"/>
          </w:tcPr>
          <w:p>
            <w:r/>
            <w:r>
              <w:rPr>
                <w:sz w:val="19"/>
              </w:rPr>
              <w:t>4</w:t>
            </w:r>
          </w:p>
        </w:tc>
        <w:tc>
          <w:tcPr>
            <w:tcW w:type="dxa" w:w="3226"/>
            <w:shd w:val="clear" w:color="auto" w:fill="F5F8FC"/>
          </w:tcPr>
          <w:p>
            <w:r/>
            <w:r>
              <w:rPr>
                <w:sz w:val="19"/>
              </w:rPr>
              <w:t>Plot the requirements on the Kano diagram and identify where to invest first.</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10 min</w:t>
            </w:r>
          </w:p>
        </w:tc>
        <w:tc>
          <w:tcPr>
            <w:tcW w:type="dxa" w:w="4839"/>
          </w:tcPr>
          <w:p>
            <w:r/>
            <w:r>
              <w:rPr>
                <w:sz w:val="19"/>
              </w:rPr>
              <w:t>Write each VOC statement on its own note</w:t>
            </w:r>
          </w:p>
        </w:tc>
      </w:tr>
      <w:tr>
        <w:tc>
          <w:tcPr>
            <w:tcW w:type="dxa" w:w="4839"/>
          </w:tcPr>
          <w:p>
            <w:r/>
            <w:r>
              <w:rPr>
                <w:sz w:val="19"/>
              </w:rPr>
              <w:t>15 min</w:t>
            </w:r>
          </w:p>
        </w:tc>
        <w:tc>
          <w:tcPr>
            <w:tcW w:type="dxa" w:w="4839"/>
          </w:tcPr>
          <w:p>
            <w:r/>
            <w:r>
              <w:rPr>
                <w:sz w:val="19"/>
              </w:rPr>
              <w:t>Cluster silently into groups</w:t>
            </w:r>
          </w:p>
        </w:tc>
      </w:tr>
      <w:tr>
        <w:tc>
          <w:tcPr>
            <w:tcW w:type="dxa" w:w="4839"/>
          </w:tcPr>
          <w:p>
            <w:r/>
            <w:r>
              <w:rPr>
                <w:sz w:val="19"/>
              </w:rPr>
              <w:t>10 min</w:t>
            </w:r>
          </w:p>
        </w:tc>
        <w:tc>
          <w:tcPr>
            <w:tcW w:type="dxa" w:w="4839"/>
          </w:tcPr>
          <w:p>
            <w:r/>
            <w:r>
              <w:rPr>
                <w:sz w:val="19"/>
              </w:rPr>
              <w:t>Name each affinity group</w:t>
            </w:r>
          </w:p>
        </w:tc>
      </w:tr>
      <w:tr>
        <w:tc>
          <w:tcPr>
            <w:tcW w:type="dxa" w:w="4839"/>
          </w:tcPr>
          <w:p>
            <w:r/>
            <w:r>
              <w:rPr>
                <w:sz w:val="19"/>
              </w:rPr>
              <w:t>10 min</w:t>
            </w:r>
          </w:p>
        </w:tc>
        <w:tc>
          <w:tcPr>
            <w:tcW w:type="dxa" w:w="4839"/>
          </w:tcPr>
          <w:p>
            <w:r/>
            <w:r>
              <w:rPr>
                <w:sz w:val="19"/>
              </w:rPr>
              <w:t>Classify against Kano and plot</w:t>
            </w:r>
          </w:p>
        </w:tc>
      </w:tr>
    </w:tbl>
    <w:p>
      <w:r>
        <w:rPr>
          <w:b/>
          <w:sz w:val="19"/>
        </w:rPr>
        <w:t>Total: 45 minutes</w:t>
      </w:r>
    </w:p>
    <w:p>
      <w:pPr>
        <w:pStyle w:val="Heading2"/>
      </w:pPr>
      <w:r>
        <w:t>Discussion &amp; decision prompts</w:t>
      </w:r>
    </w:p>
    <w:p>
      <w:pPr>
        <w:pStyle w:val="ListNumber"/>
      </w:pPr>
      <w:r>
        <w:t>Which requirement is a Must-Be that nobody would ever praise you for meeting?</w:t>
      </w:r>
    </w:p>
    <w:p>
      <w:pPr>
        <w:pStyle w:val="ListNumber"/>
      </w:pPr>
      <w:r>
        <w:t>Where would investment produce the most satisfaction per unit of effort?</w:t>
      </w:r>
    </w:p>
    <w:p>
      <w:pPr>
        <w:pStyle w:val="ListNumber"/>
      </w:pPr>
      <w:r>
        <w:t>Did silent clustering change the grouping versus discussing it?</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DEFINE phase of DMAIC.</w:t>
      </w:r>
    </w:p>
    <w:p>
      <w:pPr>
        <w:pStyle w:val="ListBullet"/>
      </w:pPr>
      <w:r>
        <w:t>Remind learners how this activity feeds the next phase of the improvement package.</w:t>
      </w:r>
    </w:p>
    <w:p>
      <w:r>
        <w:t>Reflection questions:</w:t>
      </w:r>
    </w:p>
    <w:p>
      <w:pPr>
        <w:pStyle w:val="ListBullet"/>
      </w:pPr>
      <w:r>
        <w:t>What Delighter could you add to your own service at almost no cost?</w:t>
      </w:r>
    </w:p>
    <w:p>
      <w:pPr>
        <w:pStyle w:val="ListBullet"/>
      </w:pPr>
      <w:r>
        <w:t>Which Must-Be is your team currently failing?</w:t>
      </w:r>
    </w:p>
    <w:p>
      <w:pPr>
        <w:pStyle w:val="Heading2"/>
      </w:pPr>
      <w:r>
        <w:t>Facilitator notes — what to watch for</w:t>
      </w:r>
    </w:p>
    <w:p>
      <w:pPr>
        <w:pStyle w:val="ListBullet"/>
      </w:pPr>
      <w:r>
        <w:t>Silent clustering is not optional — talking lets the loudest voice anchor the groups.</w:t>
      </w:r>
    </w:p>
    <w:p>
      <w:pPr>
        <w:pStyle w:val="ListBullet"/>
      </w:pPr>
      <w:r>
        <w:t>Must-Be requirements are invisible when met and fatal when missed; test with an example.</w:t>
      </w:r>
    </w:p>
    <w:p>
      <w:pPr>
        <w:pStyle w:val="Heading2"/>
      </w:pPr>
      <w:r>
        <w:t>Success criterion</w:t>
      </w:r>
    </w:p>
    <w:p>
      <w:r>
        <w:t>Every VOC note sits in exactly one named affinity group and carries a Kano classification.</w:t>
      </w:r>
    </w:p>
    <w:p>
      <w:pPr>
        <w:pStyle w:val="Heading2"/>
      </w:pPr>
      <w:r>
        <w:t>How this fits the course</w:t>
      </w:r>
    </w:p>
    <w:p>
      <w:r>
        <w:t>This activity builds the DEFINE phase of DMAIC. Every activity reuses the same techniques on the same Contoso Service Desk scenario and the same figures (400 tickets, yield 76%, DPMO 50,000), so the outputs accumulate into one improvement package. Nothing is practised here that is not taught in the slides.</w:t>
      </w:r>
    </w:p>
    <w:p>
      <w:r>
        <w:rPr>
          <w:i/>
          <w:color w:val="555B66"/>
          <w:sz w:val="16"/>
        </w:rPr>
        <w:t>Certified Lean Six Sigma Yellow Belt (CLSSYB) · C524 · Version v1 · © 2026 Tertiary Infotech Academy Pte Ltd</w:t>
      </w:r>
    </w:p>
    <w:sectPr w:rsidR="00FC693F" w:rsidRPr="0006063C" w:rsidSect="00034616">
      <w:footerReference w:type="default" r:id="rId9"/>
      <w:headerReference w:type="default" r:id="rId10"/>
      <w:footerReference w:type="first" r:id="rId11"/>
      <w:headerReference w:type="first" r:id="rId12"/>
      <w:footerReference w:type="even" r:id="rId13"/>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