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Finance for Non-Finance Managers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non-WSQ lesson plan. Topics follow the parent course 1:1; schedule retimed to 9:30 am - 5:30 pm at 7.5 instructional hours per day.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1 - Financial statements, ratios, profitability, cash flow and projections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2 - Analysis process, financial health, historical performance, benchmarking and capital budgeting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Activity Reference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Hands-On Activity Schedule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6FEB"/>
        </w:rP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Finance for Non-Finance Managers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Reference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C525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2 days - 7.5 instructional hours per day (15 hours total)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9:30 am - 5:30 pm (30-minute lunch break)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 classroom or live online, with hands-on Excel activities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Instructional Methods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Lecture, demonstration, worked examples, guided practice and discussion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Dr Alfred Ang</w:t>
            </w:r>
          </w:p>
        </w:tc>
      </w:tr>
    </w:tbl>
    <w:p>
      <w:pPr>
        <w:pStyle w:val="Heading1"/>
      </w:pPr>
      <w:r>
        <w:rPr>
          <w:rFonts w:ascii="Arial" w:hAnsi="Arial"/>
          <w:color w:val="1F6FEB"/>
        </w:rP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Outline the process of financial statement analysis, including the balance sheet, income statement and cash flow statement, and the ratios derived from them.</w:t>
      </w:r>
    </w:p>
    <w:p>
      <w:pPr>
        <w:pStyle w:val="ListBullet"/>
      </w:pPr>
      <w:r>
        <w:rPr>
          <w:sz w:val="21"/>
        </w:rPr>
        <w:t>LO2: Assess an organisation's financial health from financial analysis, including profitability, liquidity, leverage, efficiency and cash flow.</w:t>
      </w:r>
    </w:p>
    <w:p>
      <w:pPr>
        <w:pStyle w:val="ListBullet"/>
      </w:pPr>
      <w:r>
        <w:rPr>
          <w:sz w:val="21"/>
        </w:rPr>
        <w:t>LO3: Evaluate an organisation's historical financial performance and benchmark it against industry, including for the financial services sector.</w:t>
      </w:r>
    </w:p>
    <w:p>
      <w:pPr>
        <w:pStyle w:val="ListBullet"/>
      </w:pPr>
      <w:r>
        <w:rPr>
          <w:sz w:val="21"/>
        </w:rPr>
        <w:t>LO4: Define indicators for investment suitability and apply capital budgeting methods to evaluate potential investment returns.</w:t>
      </w:r>
    </w:p>
    <w:p>
      <w:pPr>
        <w:pStyle w:val="Heading1"/>
      </w:pPr>
      <w:r>
        <w:rPr>
          <w:rFonts w:ascii="Arial" w:hAnsi="Arial"/>
          <w:color w:val="1F6FEB"/>
        </w:rPr>
        <w:t>Course Schedule</w:t>
      </w:r>
    </w:p>
    <w:p>
      <w:r>
        <w:rPr>
          <w:sz w:val="21"/>
        </w:rPr>
        <w:t>Each training day runs 9:30 am to 5:30 pm and totals 7.5 instructional hours (450 minutes) of teaching and hands-on activity, with a 30-minute lunch break.</w:t>
      </w:r>
    </w:p>
    <w:p>
      <w:pPr>
        <w:pStyle w:val="Heading2"/>
      </w:pPr>
      <w:r>
        <w:rPr>
          <w:rFonts w:ascii="Arial" w:hAnsi="Arial"/>
          <w:color w:val="1F6FEB"/>
        </w:rPr>
        <w:t>Day 1 - Financial statements, ratios, profitability, cash flow and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71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9:30-9:45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1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course outline and ground rules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9:45-11:30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The different financial ratios: balance sheet, income statement, cash flow statement; liquidity, leverage, efficiency ratios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11:30-12:35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01 - Financial statement analysis and ratios (Northstar Supplies)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12:35-13:05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1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13:05-14:05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Profitability Analysis: gross, operating and net margin, ROA, ROE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14:05-14:40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Cash Flow Analysis: improving cash flow management, monthly cash flow statements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14:40-15:35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02 - Cash flow reconstruction and liquidity (Harbour Services)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15:35-16:20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4 - Projected financial and cash-flow statements: proforma statements and forecasting methods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16:20-17:30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03 - Projected income statement and cash flow (Meridian Components)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- 5:30 pm.</w:t>
      </w:r>
    </w:p>
    <w:p>
      <w:pPr>
        <w:pStyle w:val="Heading2"/>
      </w:pPr>
      <w:r>
        <w:rPr>
          <w:rFonts w:ascii="Arial" w:hAnsi="Arial"/>
          <w:color w:val="1F6FEB"/>
        </w:rPr>
        <w:t>Day 2 - Analysis process, financial health, historical performance, benchmarking and capital budgeting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71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9:30-9:45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1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9:45-11:00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5 - The process of financial statements analysis: ratio, horizontal and vertical analysis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11:00-11:45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6 - Use financial analysis to determine the health of an organisation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11:45-12:30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7 - Evaluate organisation's historical financial performance: trend analysis case study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12:30-13:00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1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13:00-13:35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8 - Investment suitability based on financial analysis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13:35-14:05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9 - Analysis for the financial services industry: banking and insurance ratios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14:05-14:30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10 - Benchmarking of financial performance against industry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14:30-15:35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04 - Trend analysis and industry benchmarking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15:35-16:20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71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11 - Use Capital Budgeting to evaluate potential investment returns: time value of money, payback, NPV, PI, IRR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16:20-17:15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7128"/>
          </w:tcPr>
          <w:p>
            <w:r/>
            <w:r>
              <w:rPr>
                <w:rFonts w:ascii="Arial" w:hAnsi="Arial"/>
                <w:b w:val="0"/>
                <w:sz w:val="19"/>
              </w:rPr>
              <w:t>Activity 05 - Capital budgeting and investment suitability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17:15-17:30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712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Q&amp;A and close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- 5:30 pm.</w:t>
      </w:r>
    </w:p>
    <w:p>
      <w:pPr>
        <w:pStyle w:val="Heading1"/>
      </w:pPr>
      <w:r>
        <w:rPr>
          <w:rFonts w:ascii="Arial" w:hAnsi="Arial"/>
          <w:color w:val="1F6FEB"/>
        </w:rPr>
        <w:t>Topic and Activity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The different financial ratios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01, Activity 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3-69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Profitability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70-81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Cash Flow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82-84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Projected financial and cash-flow statements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85-89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The process of financial statements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96-110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Use financial analysis to determine the health of an organisation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90-95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07: Evaluate organisation's historical financial performance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111-119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08: Investment suitability based on financial analysis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120-123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09: Analysis for the financial services industry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124-127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10: Benchmarking of financial performance against industry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128-129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11: Use Capital Budgeting to evaluate potential investment returns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Activity 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130-145</w:t>
            </w:r>
          </w:p>
        </w:tc>
      </w:tr>
    </w:tbl>
    <w:p>
      <w:pPr>
        <w:pStyle w:val="Heading1"/>
      </w:pPr>
      <w:r>
        <w:rPr>
          <w:rFonts w:ascii="Arial" w:hAnsi="Arial"/>
          <w:color w:val="1F6FEB"/>
        </w:rPr>
        <w:t>Hands-On Activity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Financial statement analysis and ratios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65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Cash flow reconstruction and liquidity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55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Projected income statement and cash flow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70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Trend analysis and industry benchmarking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7, 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65 minutes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Activity 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Capital budgeting and investment suitability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Topic 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Day 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55 minutes</w:t>
            </w:r>
          </w:p>
        </w:tc>
      </w:tr>
    </w:tbl>
    <w:p>
      <w:pPr>
        <w:pStyle w:val="Heading1"/>
      </w:pPr>
      <w:r>
        <w:rPr>
          <w:rFonts w:ascii="Arial" w:hAnsi="Arial"/>
          <w:color w:val="1F6FEB"/>
        </w:rPr>
        <w:t>Learning Reinforcement</w:t>
      </w:r>
    </w:p>
    <w:p>
      <w:pPr>
        <w:pStyle w:val="ListBullet"/>
      </w:pPr>
      <w:r>
        <w:rPr>
          <w:sz w:val="21"/>
        </w:rPr>
        <w:t>Each topic is demonstrated with worked examples on real-shaped financial statements before learners practise.</w:t>
      </w:r>
    </w:p>
    <w:p>
      <w:pPr>
        <w:pStyle w:val="ListBullet"/>
      </w:pPr>
      <w:r>
        <w:rPr>
          <w:sz w:val="21"/>
        </w:rPr>
        <w:t>Each hands-on activity ends with a verification step so learners can confirm their own results.</w:t>
      </w:r>
    </w:p>
    <w:p>
      <w:pPr>
        <w:pStyle w:val="ListBullet"/>
      </w:pPr>
      <w:r>
        <w:rPr>
          <w:sz w:val="21"/>
        </w:rPr>
        <w:t>The trainer circulates during activity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ListBullet"/>
      </w:pPr>
      <w:r>
        <w:rPr>
          <w:sz w:val="21"/>
        </w:rPr>
        <w:t>Day 2 opens with a recap of Day 1 to consolidate the financial statement and ratio foundations.</w:t>
      </w:r>
    </w:p>
    <w:p>
      <w:pPr>
        <w:pStyle w:val="Heading1"/>
      </w:pPr>
      <w:r>
        <w:rPr>
          <w:rFonts w:ascii="Arial" w:hAnsi="Arial"/>
          <w:color w:val="1F6FEB"/>
        </w:rPr>
        <w:t>Resources Required</w:t>
      </w:r>
    </w:p>
    <w:p>
      <w:pPr>
        <w:pStyle w:val="ListBullet"/>
      </w:pPr>
      <w:r>
        <w:rPr>
          <w:sz w:val="21"/>
        </w:rPr>
        <w:t>A laptop with Microsoft Excel (or a compatible spreadsheet application).</w:t>
      </w:r>
    </w:p>
    <w:p>
      <w:pPr>
        <w:pStyle w:val="ListBullet"/>
      </w:pPr>
      <w:r>
        <w:rPr>
          <w:sz w:val="21"/>
        </w:rPr>
        <w:t>The activity workbooks and instruction sheets from the course GitHub repository.</w:t>
      </w:r>
    </w:p>
    <w:p>
      <w:pPr>
        <w:pStyle w:val="ListBullet"/>
      </w:pPr>
      <w:r>
        <w:rPr>
          <w:sz w:val="21"/>
        </w:rPr>
        <w:t>Trainer Slides, Learner Guide and Lesson Plan (downloadable from the LMS/TMS portal).</w:t>
      </w:r>
    </w:p>
    <w:p>
      <w:pPr>
        <w:pStyle w:val="ListBullet"/>
      </w:pPr>
      <w:r>
        <w:rPr>
          <w:sz w:val="21"/>
        </w:rPr>
        <w:t>Projector or screen-share for trainer demonstrations.</w:t>
      </w:r>
    </w:p>
    <w:p>
      <w:pPr>
        <w:pStyle w:val="ListBullet"/>
      </w:pPr>
      <w:r>
        <w:rPr>
          <w:sz w:val="21"/>
        </w:rPr>
        <w:t>Whiteboard or digital equivalent for worked calculations.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