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5960" cy="1965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ubtitle"/>
        <w:jc w:val="center"/>
      </w:pPr>
      <w:r>
        <w:t>COURSEWARE</w:t>
      </w:r>
    </w:p>
    <w:p>
      <w:pPr>
        <w:pStyle w:val="Title"/>
        <w:jc w:val="center"/>
      </w:pPr>
      <w:r>
        <w:t>Agentic AI Applications with Codex</w:t>
      </w:r>
    </w:p>
    <w:p>
      <w:pPr>
        <w:pStyle w:val="Subtitle"/>
        <w:jc w:val="center"/>
      </w:pPr>
      <w:r>
        <w:t>Lesson Plan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 Code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C695</w:t>
            </w:r>
            <w:r>
              <w:rPr>
                <w:rFonts w:ascii="Arial" w:hAnsi="Arial"/>
                <w:b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v1.0</w:t>
            </w:r>
            <w:r>
              <w:rPr>
                <w:rFonts w:ascii="Arial" w:hAnsi="Arial"/>
                <w:b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20 September 2026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Training Provider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Pte. Ltd. (UEN 201200696W)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Trainer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Dr Alfred Ang</w:t>
            </w:r>
          </w:p>
        </w:tc>
      </w:tr>
    </w:tbl>
    <w:p/>
    <w:p>
      <w:pPr>
        <w:jc w:val="center"/>
      </w:pPr>
      <w:r>
        <w:rPr>
          <w:i/>
          <w:color w:val="526577"/>
        </w:rPr>
        <w:t>Controlled document. Verify the version before use.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Change summary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Lesson Plan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1.0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20 September 2026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Tertiary Infotech Academy Pte. Ltd.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Course identity updated to C695; one-day schedule and learner resources aligned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update this field to refresh the contents.</w:t>
        <w:fldChar w:fldCharType="end"/>
      </w:r>
    </w:p>
    <w:p>
      <w:r>
        <w:br w:type="page"/>
      </w:r>
    </w:p>
    <w:p>
      <w:pPr>
        <w:pStyle w:val="Heading1"/>
      </w:pPr>
      <w:r>
        <w:t>1. Course and Delivery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Agentic AI Applications with Codex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 code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C695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1 day / 7.5 instructional hours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Delivery mode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Facilitated classroom or synchronous learning with a local Codex learner sandbox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Required resources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215-slide deck, Learner Guide, ten lab folders, Git, Python 3, Codex CLI/app or IDE extension, browser for Lab 06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2. Learning Outcomes</w:t>
      </w:r>
    </w:p>
    <w:p>
      <w:pPr>
        <w:pStyle w:val="ListBullet"/>
      </w:pPr>
      <w:r>
        <w:t>LO1 Analyse agentic AI applications, their strengths, limitations and suitability for a work problem.</w:t>
      </w:r>
    </w:p>
    <w:p>
      <w:pPr>
        <w:pStyle w:val="ListBullet"/>
      </w:pPr>
      <w:r>
        <w:t>LO2 Correlate agent-control design with algorithm efficiency and evaluate the resulting process improvement.</w:t>
      </w:r>
    </w:p>
    <w:p>
      <w:pPr>
        <w:pStyle w:val="ListBullet"/>
      </w:pPr>
      <w:r>
        <w:t>LO3 Assess methods for evaluating the effectiveness, safety and reliability of Codex-enabled workflows.</w:t>
      </w:r>
    </w:p>
    <w:p>
      <w:pPr>
        <w:pStyle w:val="ListBullet"/>
      </w:pPr>
      <w:r>
        <w:t>LO4 Evaluate comparative effectiveness and recommend a governed Codex implementation using observable evidence.</w:t>
      </w:r>
    </w:p>
    <w:p>
      <w:pPr>
        <w:pStyle w:val="Heading1"/>
      </w:pPr>
      <w:r>
        <w:t>3. Facilitation Principles</w:t>
      </w:r>
    </w:p>
    <w:p>
      <w:pPr>
        <w:pStyle w:val="ListBullet"/>
      </w:pPr>
      <w:r>
        <w:t>Use the PPT for mechanism visualisation, technical dialogue and evidence interpretation; do not demonstrate click-by-click procedures from the slides.</w:t>
      </w:r>
    </w:p>
    <w:p>
      <w:pPr>
        <w:pStyle w:val="ListBullet"/>
      </w:pPr>
      <w:r>
        <w:t>Use the Learner Guide and lab PDFs for detailed procedures, prompts, troubleshooting and acceptance checks.</w:t>
      </w:r>
    </w:p>
    <w:p>
      <w:pPr>
        <w:pStyle w:val="ListBullet"/>
      </w:pPr>
      <w:r>
        <w:t>Keep all external, destructive and repository-publishing actions outside learner scope unless the trainer stages a safe simulation.</w:t>
      </w:r>
    </w:p>
    <w:p>
      <w:pPr>
        <w:pStyle w:val="ListBullet"/>
      </w:pPr>
      <w:r>
        <w:t>Require observable execution evidence before accepting an agent response or learner conclusion.</w:t>
      </w:r>
    </w:p>
    <w:p>
      <w:pPr>
        <w:pStyle w:val="Heading1"/>
      </w:pPr>
      <w:r>
        <w:t>4. One-Day Detailed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rPr>
          <w:tblHeader w:val="true"/>
        </w:trP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Resources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09:30–09:45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Course orientation, safety boundary and evidence standard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Facilitated briefing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1–9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Environment readiness and learner goal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09:45–10:45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Topic 1 + Labs 01–02: surfaces, agentic loops and prompt-to-plan delivery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Mechanism dialogue + guided practice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10–58; Lab 01–02 folders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Repository map, scoped prompt and passing checks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10:45–12:00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Topic 2 + Labs 03–05: instructions, sandbox, approvals and worktrees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Technical demonstration + guided lab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59–110; Lab 03–05 folders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Instruction trace, permission log and isolated commits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12:00–12:30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Lunch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—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—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—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12:30–14:00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Topic 3 + Labs 06–08: browser QA, MCP, skills, subagents and headless execution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Mechanism dialogue + guided lab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111–162; Lab 06–08 folders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Browser trace, reusable skill and JSONL contract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14:00–15:30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Topic 4 + Labs 09–10: golden tasks, comparative evaluation and governed adoption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Evidence analysis + guided capstone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163–211; Lab 09–10 folders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Evaluation report and bounded recommendation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15:30–17:00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Integrated capstone: inspect, plan, act, verify and correct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Independent challenge + peer explanation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All lab evidence; Slides 212–215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Working change, reviewable evidence pack and recovery path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17:00–17:30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Technical recap, transfer plan and course feedback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Facilitated reflection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Learner Guide; feedback slide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Personal transfer commitment and improvement feedback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/>
    <w:p>
      <w:pPr>
        <w:pStyle w:val="Heading1"/>
      </w:pPr>
      <w:r>
        <w:t>5. Trainer Preparation Checklist</w:t>
      </w:r>
    </w:p>
    <w:p>
      <w:pPr>
        <w:pStyle w:val="ListBullet"/>
      </w:pPr>
      <w:r>
        <w:t>Confirm the course identity, version and 215-slide deck before class.</w:t>
      </w:r>
    </w:p>
    <w:p>
      <w:pPr>
        <w:pStyle w:val="ListBullet"/>
      </w:pPr>
      <w:r>
        <w:t>Verify that every lab folder contains README/PDF, AGENTS.md, prompt, starter, solution, verifier and evidence checklist/PDF.</w:t>
      </w:r>
    </w:p>
    <w:p>
      <w:pPr>
        <w:pStyle w:val="ListBullet"/>
      </w:pPr>
      <w:r>
        <w:t>Use a learner-safe Codex environment; keep external, destructive and repository-publishing actions out of scope.</w:t>
      </w:r>
    </w:p>
    <w:p>
      <w:pPr>
        <w:pStyle w:val="ListBullet"/>
      </w:pPr>
      <w:r>
        <w:t>Test repository, Codex and browser access without exposing credentials on projected screens.</w:t>
      </w:r>
    </w:p>
    <w:p>
      <w:pPr>
        <w:pStyle w:val="Heading1"/>
      </w:pPr>
      <w:r>
        <w:t>6. References</w:t>
      </w:r>
    </w:p>
    <w:p>
      <w:pPr>
        <w:pStyle w:val="ListBullet"/>
      </w:pPr>
      <w:r>
        <w:rPr>
          <w:b/>
        </w:rPr>
        <w:t>Official course page: https://www.tertiarycourses.com.sg/agentic-ai-applications-with-codex.html — course identity, duration, learning outcomes and delivery context</w:t>
      </w:r>
      <w:r/>
    </w:p>
    <w:p>
      <w:pPr>
        <w:pStyle w:val="ListBullet"/>
      </w:pPr>
      <w:r>
        <w:rPr>
          <w:b/>
        </w:rPr>
        <w:t xml:space="preserve">OpenAI Codex learning hub: </w:t>
      </w:r>
      <w:r>
        <w:t>https://developers.openai.com/learn/codex — current Codex workflows, guides and reference entry points</w:t>
      </w:r>
    </w:p>
    <w:p>
      <w:pPr>
        <w:pStyle w:val="ListBullet"/>
      </w:pPr>
      <w:r>
        <w:rPr>
          <w:b/>
        </w:rPr>
        <w:t xml:space="preserve">Codex cloud documentation: </w:t>
      </w:r>
      <w:r>
        <w:t>https://learn.chatgpt.com/docs/cloud — cloud environments, parallel tasks and review workflow</w:t>
      </w:r>
    </w:p>
    <w:p>
      <w:pPr>
        <w:pStyle w:val="ListBullet"/>
      </w:pPr>
      <w:r>
        <w:rPr>
          <w:b/>
        </w:rPr>
        <w:t xml:space="preserve">OpenAI Academy: Codex: </w:t>
      </w:r>
      <w:r>
        <w:t>https://openai.com/academy/codex/ — official learning resources and demonstrations</w:t>
      </w:r>
    </w:p>
    <w:p>
      <w:pPr>
        <w:pStyle w:val="ListBullet"/>
      </w:pPr>
      <w:r>
        <w:rPr>
          <w:b/>
        </w:rPr>
        <w:t xml:space="preserve">OpenAI Codex product: </w:t>
      </w:r>
      <w:r>
        <w:t>https://openai.com/codex/ — Codex product surfaces and capabilities</w:t>
      </w:r>
    </w:p>
    <w:p>
      <w:pPr>
        <w:pStyle w:val="ListBullet"/>
      </w:pPr>
      <w:r>
        <w:rPr>
          <w:b/>
        </w:rPr>
        <w:t xml:space="preserve">OpenAI Codex repository: </w:t>
      </w:r>
      <w:r>
        <w:t>https://github.com/openai/codex — CLI installation, repository guidance and source reference</w:t>
      </w:r>
    </w:p>
    <w:p>
      <w:pPr>
        <w:pStyle w:val="ListBullet"/>
      </w:pPr>
      <w:r>
        <w:rPr>
          <w:b/>
        </w:rPr>
        <w:t xml:space="preserve">AIFLOXIUM Codex guide: </w:t>
      </w:r>
      <w:r>
        <w:t>https://www.aifloxium.online/blog/openai-codex-tutorial-complete-guide-2026 — supplementary workflow coverage</w:t>
      </w:r>
    </w:p>
    <w:p>
      <w:pPr>
        <w:pStyle w:val="ListBullet"/>
      </w:pPr>
      <w:r>
        <w:rPr>
          <w:b/>
        </w:rPr>
        <w:t xml:space="preserve">QCode Codex IDE guide: </w:t>
      </w:r>
      <w:r>
        <w:t>https://docs.qcode.cc/en/docs/ide/codex — supplementary IDE integration perspective</w:t>
      </w:r>
    </w:p>
    <w:p>
      <w:pPr>
        <w:pStyle w:val="ListBullet"/>
      </w:pPr>
      <w:r>
        <w:rPr>
          <w:b/>
        </w:rPr>
        <w:t xml:space="preserve">DataCamp Codex tutorial: </w:t>
      </w:r>
      <w:r>
        <w:t>https://www.datacamp.com/tutorial/openai-codex — supplementary cloud-task examples</w:t>
      </w:r>
    </w:p>
    <w:p>
      <w:pPr>
        <w:pStyle w:val="ListBullet"/>
      </w:pPr>
      <w:r>
        <w:rPr>
          <w:b/>
        </w:rPr>
        <w:t xml:space="preserve">YouMind Codex tutorial: </w:t>
      </w:r>
      <w:r>
        <w:t>https://youmind.com/landing/x-viral-articles/master-codex-ai-features-tutorial — supplementary feature overview</w:t>
      </w:r>
    </w:p>
    <w:p>
      <w:pPr>
        <w:pStyle w:val="ListBullet"/>
      </w:pPr>
      <w:r>
        <w:rPr>
          <w:b/>
        </w:rPr>
        <w:t xml:space="preserve">AirMore Codex beginners review: </w:t>
      </w:r>
      <w:r>
        <w:t>https://airmore.ai/ai-review/codex-tutorial-beginners — supplementary beginner perspective</w:t>
      </w:r>
    </w:p>
    <w:p>
      <w:pPr>
        <w:pStyle w:val="ListBullet"/>
      </w:pPr>
      <w:r>
        <w:rPr>
          <w:b/>
        </w:rPr>
        <w:t xml:space="preserve">Gauraw Codex tutorial: </w:t>
      </w:r>
      <w:r>
        <w:t>https://www.gauraw.com/openai-codex-tutorial/ — supplementary workflow and troubleshooting coverage</w:t>
      </w:r>
    </w:p>
    <w:p>
      <w:pPr>
        <w:pStyle w:val="ListBullet"/>
      </w:pPr>
      <w:r>
        <w:rPr>
          <w:b/>
        </w:rPr>
        <w:t xml:space="preserve">DeepWiki Codex interfaces: </w:t>
      </w:r>
      <w:r>
        <w:t>https://deepwiki.com/openai/codex/4-user-interfaces — supplementary interface taxonomy</w:t>
      </w:r>
    </w:p>
    <w:sectPr w:rsidR="00FC693F" w:rsidRPr="0006063C" w:rsidSect="00034616">
      <w:footerReference w:type="default" r:id="rId9"/>
      <w:headerReference w:type="default" r:id="rId11"/>
      <w:pgSz w:w="12240" w:h="15840"/>
      <w:pgMar w:top="1020" w:right="1049" w:bottom="964" w:left="10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14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D3056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875C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2936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D305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/>
      <w:iCs/>
      <w:color w:val="1875C4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