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224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80"/>
        <w:jc w:val="center"/>
      </w:pPr>
      <w:r>
        <w:rPr>
          <w:rFonts w:ascii="Arial" w:hAnsi="Arial"/>
          <w:b/>
          <w:color w:val="008E8E"/>
          <w:sz w:val="36"/>
        </w:rPr>
        <w:t>LESSON PLAN</w:t>
      </w:r>
    </w:p>
    <w:p>
      <w:pPr>
        <w:spacing w:before="240"/>
        <w:jc w:val="center"/>
      </w:pPr>
      <w:r>
        <w:rPr>
          <w:rFonts w:ascii="Arial" w:hAnsi="Arial"/>
          <w:b/>
          <w:color w:val="17242B"/>
          <w:sz w:val="56"/>
        </w:rPr>
        <w:t>QuickBooks Accounting Masterclass</w:t>
      </w:r>
    </w:p>
    <w:p>
      <w:pPr>
        <w:jc w:val="center"/>
      </w:pPr>
      <w:r>
        <w:rPr>
          <w:rFonts w:ascii="Arial" w:hAnsi="Arial"/>
          <w:color w:val="5B6573"/>
          <w:sz w:val="22"/>
        </w:rPr>
        <w:t>Course Code: C699</w:t>
      </w:r>
    </w:p>
    <w:p>
      <w:pPr>
        <w:jc w:val="center"/>
      </w:pPr>
      <w:r>
        <w:rPr>
          <w:rFonts w:ascii="Arial" w:hAnsi="Arial"/>
          <w:color w:val="5B6573"/>
          <w:sz w:val="22"/>
        </w:rPr>
        <w:t>Conducted by Tertiary Infotech Academy Pte Ltd · UEN 201200696W</w:t>
      </w:r>
    </w:p>
    <w:p>
      <w:pPr>
        <w:jc w:val="center"/>
      </w:pPr>
      <w:r>
        <w:rPr>
          <w:rFonts w:ascii="Arial" w:hAnsi="Arial"/>
          <w:color w:val="5B6573"/>
          <w:sz w:val="22"/>
        </w:rPr>
        <w:t>Version 1.0 · 1 October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Effective date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498"/>
            <w:vAlign w:val="center"/>
          </w:tcPr>
          <w:p>
            <w:r>
              <w:t>1.0</w:t>
            </w:r>
          </w:p>
        </w:tc>
        <w:tc>
          <w:tcPr>
            <w:tcW w:type="dxa" w:w="2498"/>
            <w:vAlign w:val="center"/>
          </w:tcPr>
          <w:p>
            <w:r>
              <w:t>1 October 2026</w:t>
            </w:r>
          </w:p>
        </w:tc>
        <w:tc>
          <w:tcPr>
            <w:tcW w:type="dxa" w:w="2498"/>
            <w:vAlign w:val="center"/>
          </w:tcPr>
          <w:p>
            <w:r>
              <w:t>Initial release of the QuickBooks Accounting Masterclass lesson plan: two-day schedule (9:30am–5:30pm, 15 instructional hours) with twelve progressive QuickBooks Online activities.</w:t>
            </w:r>
          </w:p>
        </w:tc>
        <w:tc>
          <w:tcPr>
            <w:tcW w:type="dxa" w:w="2498"/>
            <w:vAlign w:val="center"/>
          </w:tcPr>
          <w:p>
            <w:r>
              <w:t>Dr Alfred Ang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update field in Microsoft Word if page numbers are not visible.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997"/>
          </w:tcPr>
          <w:p>
            <w:r>
              <w:t>QuickBooks Accounting Masterclass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4997"/>
          </w:tcPr>
          <w:p>
            <w:r>
              <w:t>C699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2 days · 7.5 instructional hours per day · 15 hours total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4997"/>
          </w:tcPr>
          <w:p>
            <w:r>
              <w:t>9:30 am – 5:30 pm · 30-minute lunch</w:t>
            </w:r>
          </w:p>
        </w:tc>
      </w:tr>
      <w:tr>
        <w:tc>
          <w:tcPr>
            <w:tcW w:type="dxa" w:w="4997"/>
            <w:shd w:fill="E8F0FE"/>
          </w:tcPr>
          <w:p>
            <w:r>
              <w:rPr>
                <w:b/>
              </w:rPr>
              <w:t>Trainer</w:t>
            </w:r>
          </w:p>
        </w:tc>
        <w:tc>
          <w:tcPr>
            <w:tcW w:type="dxa" w:w="4997"/>
          </w:tcPr>
          <w:p>
            <w: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spacing w:after="60"/>
      </w:pPr>
      <w:r>
        <w:t>LO1: Perform advanced transactional accounting and double-entry accounting in a controlled QuickBooks Online workflow.</w:t>
      </w:r>
    </w:p>
    <w:p>
      <w:pPr>
        <w:pStyle w:val="ListBullet"/>
        <w:spacing w:after="60"/>
      </w:pPr>
      <w:r>
        <w:t>LO2: Produce accurate financial statements, supporting schedules, and management reports from validated accounting data.</w:t>
      </w:r>
    </w:p>
    <w:p>
      <w:pPr>
        <w:pStyle w:val="ListBullet"/>
        <w:spacing w:after="60"/>
      </w:pPr>
      <w:r>
        <w:t>LO3: Determine and communicate how reporting standards and accounting judgements affect financial information.</w:t>
      </w:r>
    </w:p>
    <w:p>
      <w:pPr>
        <w:pStyle w:val="Heading1"/>
      </w:pPr>
      <w:r>
        <w:t>Detailed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Learning / facilitation activity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</w:tr>
      <w:tr>
        <w:tc>
          <w:tcPr>
            <w:tcW w:type="dxa" w:w="2498"/>
            <w:shd w:fill="E8F7EE"/>
          </w:tcPr>
          <w:p>
            <w:r>
              <w:t>09:30–10:00</w:t>
            </w:r>
          </w:p>
        </w:tc>
        <w:tc>
          <w:tcPr>
            <w:tcW w:type="dxa" w:w="2498"/>
            <w:shd w:fill="E8F7EE"/>
          </w:tcPr>
          <w:p>
            <w:r>
              <w:t>30</w:t>
            </w:r>
          </w:p>
        </w:tc>
        <w:tc>
          <w:tcPr>
            <w:tcW w:type="dxa" w:w="2498"/>
            <w:shd w:fill="E8F7EE"/>
          </w:tcPr>
          <w:p>
            <w:r>
              <w:t>Admin, learning outcomes and course orientation</w:t>
            </w:r>
          </w:p>
        </w:tc>
        <w:tc>
          <w:tcPr>
            <w:tcW w:type="dxa" w:w="2498"/>
            <w:shd w:fill="E8F7EE"/>
          </w:tcPr>
          <w:p>
            <w:r>
              <w:t>1–10</w:t>
            </w:r>
          </w:p>
        </w:tc>
      </w:tr>
      <w:tr>
        <w:tc>
          <w:tcPr>
            <w:tcW w:type="dxa" w:w="2498"/>
          </w:tcPr>
          <w:p>
            <w:r>
              <w:t>10:00–11:00</w:t>
            </w:r>
          </w:p>
        </w:tc>
        <w:tc>
          <w:tcPr>
            <w:tcW w:type="dxa" w:w="2498"/>
          </w:tcPr>
          <w:p>
            <w:r>
              <w:t>60</w:t>
            </w:r>
          </w:p>
        </w:tc>
        <w:tc>
          <w:tcPr>
            <w:tcW w:type="dxa" w:w="2498"/>
          </w:tcPr>
          <w:p>
            <w:r>
              <w:t>Topic 1: prerequisite bridge, control-ready company file, event-to-entry reasoning</w:t>
            </w:r>
          </w:p>
        </w:tc>
        <w:tc>
          <w:tcPr>
            <w:tcW w:type="dxa" w:w="2498"/>
          </w:tcPr>
          <w:p>
            <w:r>
              <w:t>11–20</w:t>
            </w:r>
          </w:p>
        </w:tc>
      </w:tr>
      <w:tr>
        <w:tc>
          <w:tcPr>
            <w:tcW w:type="dxa" w:w="2498"/>
          </w:tcPr>
          <w:p>
            <w:r>
              <w:t>11:00–12:15</w:t>
            </w:r>
          </w:p>
        </w:tc>
        <w:tc>
          <w:tcPr>
            <w:tcW w:type="dxa" w:w="2498"/>
          </w:tcPr>
          <w:p>
            <w:r>
              <w:t>75</w:t>
            </w:r>
          </w:p>
        </w:tc>
        <w:tc>
          <w:tcPr>
            <w:tcW w:type="dxa" w:w="2498"/>
          </w:tcPr>
          <w:p>
            <w:r>
              <w:t>Advanced order-to-cash, returns/credits/refunds, procure-to-pay</w:t>
            </w:r>
          </w:p>
        </w:tc>
        <w:tc>
          <w:tcPr>
            <w:tcW w:type="dxa" w:w="2498"/>
          </w:tcPr>
          <w:p>
            <w:r>
              <w:t>Topic 1 range</w:t>
            </w:r>
          </w:p>
        </w:tc>
      </w:tr>
      <w:tr>
        <w:tc>
          <w:tcPr>
            <w:tcW w:type="dxa" w:w="2498"/>
          </w:tcPr>
          <w:p>
            <w:r>
              <w:t>12:15–13:15</w:t>
            </w:r>
          </w:p>
        </w:tc>
        <w:tc>
          <w:tcPr>
            <w:tcW w:type="dxa" w:w="2498"/>
          </w:tcPr>
          <w:p>
            <w:r>
              <w:t>60</w:t>
            </w:r>
          </w:p>
        </w:tc>
        <w:tc>
          <w:tcPr>
            <w:tcW w:type="dxa" w:w="2498"/>
          </w:tcPr>
          <w:p>
            <w:r>
              <w:t>Activities 1–3: master data, order-to-cash, procure-to-pay</w:t>
            </w:r>
          </w:p>
        </w:tc>
        <w:tc>
          <w:tcPr>
            <w:tcW w:type="dxa" w:w="2498"/>
          </w:tcPr>
          <w:p>
            <w:r>
              <w:t>45–50</w:t>
            </w:r>
          </w:p>
        </w:tc>
      </w:tr>
      <w:tr>
        <w:tc>
          <w:tcPr>
            <w:tcW w:type="dxa" w:w="2498"/>
          </w:tcPr>
          <w:p>
            <w:r>
              <w:t>13:15–13:45</w:t>
            </w:r>
          </w:p>
        </w:tc>
        <w:tc>
          <w:tcPr>
            <w:tcW w:type="dxa" w:w="2498"/>
          </w:tcPr>
          <w:p>
            <w:r>
              <w:t>30</w:t>
            </w:r>
          </w:p>
        </w:tc>
        <w:tc>
          <w:tcPr>
            <w:tcW w:type="dxa" w:w="2498"/>
          </w:tcPr>
          <w:p>
            <w:r>
              <w:t>Lunch</w:t>
            </w:r>
          </w:p>
        </w:tc>
        <w:tc>
          <w:tcPr>
            <w:tcW w:type="dxa" w:w="2498"/>
          </w:tcPr>
          <w:p>
            <w:r/>
          </w:p>
        </w:tc>
      </w:tr>
      <w:tr>
        <w:tc>
          <w:tcPr>
            <w:tcW w:type="dxa" w:w="2498"/>
          </w:tcPr>
          <w:p>
            <w:r>
              <w:t>13:45–15:00</w:t>
            </w:r>
          </w:p>
        </w:tc>
        <w:tc>
          <w:tcPr>
            <w:tcW w:type="dxa" w:w="2498"/>
          </w:tcPr>
          <w:p>
            <w:r>
              <w:t>75</w:t>
            </w:r>
          </w:p>
        </w:tc>
        <w:tc>
          <w:tcPr>
            <w:tcW w:type="dxa" w:w="2498"/>
          </w:tcPr>
          <w:p>
            <w:r>
              <w:t>Recurring transactions, inventory, projects, time and billable costs</w:t>
            </w:r>
          </w:p>
        </w:tc>
        <w:tc>
          <w:tcPr>
            <w:tcW w:type="dxa" w:w="2498"/>
          </w:tcPr>
          <w:p>
            <w:r>
              <w:t>Topic 1 range</w:t>
            </w:r>
          </w:p>
        </w:tc>
      </w:tr>
      <w:tr>
        <w:tc>
          <w:tcPr>
            <w:tcW w:type="dxa" w:w="2498"/>
          </w:tcPr>
          <w:p>
            <w:r>
              <w:t>15:00–16:00</w:t>
            </w:r>
          </w:p>
        </w:tc>
        <w:tc>
          <w:tcPr>
            <w:tcW w:type="dxa" w:w="2498"/>
          </w:tcPr>
          <w:p>
            <w:r>
              <w:t>60</w:t>
            </w:r>
          </w:p>
        </w:tc>
        <w:tc>
          <w:tcPr>
            <w:tcW w:type="dxa" w:w="2498"/>
          </w:tcPr>
          <w:p>
            <w:r>
              <w:t>Activities 4–5: inventory and project profitability</w:t>
            </w:r>
          </w:p>
        </w:tc>
        <w:tc>
          <w:tcPr>
            <w:tcW w:type="dxa" w:w="2498"/>
          </w:tcPr>
          <w:p>
            <w:r>
              <w:t>51–54</w:t>
            </w:r>
          </w:p>
        </w:tc>
      </w:tr>
      <w:tr>
        <w:tc>
          <w:tcPr>
            <w:tcW w:type="dxa" w:w="2498"/>
          </w:tcPr>
          <w:p>
            <w:r>
              <w:t>16:00–16:55</w:t>
            </w:r>
          </w:p>
        </w:tc>
        <w:tc>
          <w:tcPr>
            <w:tcW w:type="dxa" w:w="2498"/>
          </w:tcPr>
          <w:p>
            <w:r>
              <w:t>55</w:t>
            </w:r>
          </w:p>
        </w:tc>
        <w:tc>
          <w:tcPr>
            <w:tcW w:type="dxa" w:w="2498"/>
          </w:tcPr>
          <w:p>
            <w:r>
              <w:t>Bank rules, reconciliation, month-end adjustments</w:t>
            </w:r>
          </w:p>
        </w:tc>
        <w:tc>
          <w:tcPr>
            <w:tcW w:type="dxa" w:w="2498"/>
          </w:tcPr>
          <w:p>
            <w:r>
              <w:t>Topic 1 range</w:t>
            </w:r>
          </w:p>
        </w:tc>
      </w:tr>
      <w:tr>
        <w:tc>
          <w:tcPr>
            <w:tcW w:type="dxa" w:w="2498"/>
          </w:tcPr>
          <w:p>
            <w:r>
              <w:t>16:55–17:30</w:t>
            </w:r>
          </w:p>
        </w:tc>
        <w:tc>
          <w:tcPr>
            <w:tcW w:type="dxa" w:w="2498"/>
          </w:tcPr>
          <w:p>
            <w:r>
              <w:t>35</w:t>
            </w:r>
          </w:p>
        </w:tc>
        <w:tc>
          <w:tcPr>
            <w:tcW w:type="dxa" w:w="2498"/>
          </w:tcPr>
          <w:p>
            <w:r>
              <w:t>Close/audit controls; Activities 6–9 briefing; Day 1 recap</w:t>
            </w:r>
          </w:p>
        </w:tc>
        <w:tc>
          <w:tcPr>
            <w:tcW w:type="dxa" w:w="2498"/>
          </w:tcPr>
          <w:p>
            <w:r>
              <w:t>55–63</w:t>
            </w:r>
          </w:p>
        </w:tc>
      </w:tr>
    </w:tbl>
    <w:p>
      <w:r>
        <w:rPr>
          <w:b/>
        </w:rPr>
        <w:t>Instructional time: 450 minutes (7.5 hours), 9:30am – 5:30pm with a single 30-minute lunch.</w:t>
      </w:r>
    </w:p>
    <w:p>
      <w:pPr>
        <w:pStyle w:val="Heading2"/>
      </w:pPr>
      <w:r>
        <w:t>Day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Learning / facilitation activity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</w:tr>
      <w:tr>
        <w:tc>
          <w:tcPr>
            <w:tcW w:type="dxa" w:w="2498"/>
          </w:tcPr>
          <w:p>
            <w:r>
              <w:t>09:30–09:50</w:t>
            </w:r>
          </w:p>
        </w:tc>
        <w:tc>
          <w:tcPr>
            <w:tcW w:type="dxa" w:w="2498"/>
          </w:tcPr>
          <w:p>
            <w:r>
              <w:t>20</w:t>
            </w:r>
          </w:p>
        </w:tc>
        <w:tc>
          <w:tcPr>
            <w:tcW w:type="dxa" w:w="2498"/>
          </w:tcPr>
          <w:p>
            <w:r>
              <w:t>Day 1 recap</w:t>
            </w:r>
          </w:p>
        </w:tc>
        <w:tc>
          <w:tcPr>
            <w:tcW w:type="dxa" w:w="2498"/>
          </w:tcPr>
          <w:p>
            <w:r>
              <w:t>Recap</w:t>
            </w:r>
          </w:p>
        </w:tc>
      </w:tr>
      <w:tr>
        <w:tc>
          <w:tcPr>
            <w:tcW w:type="dxa" w:w="2498"/>
          </w:tcPr>
          <w:p>
            <w:r>
              <w:t>09:50–11:30</w:t>
            </w:r>
          </w:p>
        </w:tc>
        <w:tc>
          <w:tcPr>
            <w:tcW w:type="dxa" w:w="2498"/>
          </w:tcPr>
          <w:p>
            <w:r>
              <w:t>100</w:t>
            </w:r>
          </w:p>
        </w:tc>
        <w:tc>
          <w:tcPr>
            <w:tcW w:type="dxa" w:w="2498"/>
          </w:tcPr>
          <w:p>
            <w:r>
              <w:t>Topic 2: statement architecture, subledger ties, dimensions, custom reporting</w:t>
            </w:r>
          </w:p>
        </w:tc>
        <w:tc>
          <w:tcPr>
            <w:tcW w:type="dxa" w:w="2498"/>
          </w:tcPr>
          <w:p>
            <w:r>
              <w:t>65–79</w:t>
            </w:r>
          </w:p>
        </w:tc>
      </w:tr>
      <w:tr>
        <w:tc>
          <w:tcPr>
            <w:tcW w:type="dxa" w:w="2498"/>
          </w:tcPr>
          <w:p>
            <w:r>
              <w:t>11:30–13:10</w:t>
            </w:r>
          </w:p>
        </w:tc>
        <w:tc>
          <w:tcPr>
            <w:tcW w:type="dxa" w:w="2498"/>
          </w:tcPr>
          <w:p>
            <w:r>
              <w:t>100</w:t>
            </w:r>
          </w:p>
        </w:tc>
        <w:tc>
          <w:tcPr>
            <w:tcW w:type="dxa" w:w="2498"/>
          </w:tcPr>
          <w:p>
            <w:r>
              <w:t>Ageing, profitability, variance, cash flow, GST, management report pack</w:t>
            </w:r>
          </w:p>
        </w:tc>
        <w:tc>
          <w:tcPr>
            <w:tcW w:type="dxa" w:w="2498"/>
          </w:tcPr>
          <w:p>
            <w:r>
              <w:t>Topic 2 range</w:t>
            </w:r>
          </w:p>
        </w:tc>
      </w:tr>
      <w:tr>
        <w:tc>
          <w:tcPr>
            <w:tcW w:type="dxa" w:w="2498"/>
          </w:tcPr>
          <w:p>
            <w:r>
              <w:t>13:10–13:40</w:t>
            </w:r>
          </w:p>
        </w:tc>
        <w:tc>
          <w:tcPr>
            <w:tcW w:type="dxa" w:w="2498"/>
          </w:tcPr>
          <w:p>
            <w:r>
              <w:t>30</w:t>
            </w:r>
          </w:p>
        </w:tc>
        <w:tc>
          <w:tcPr>
            <w:tcW w:type="dxa" w:w="2498"/>
          </w:tcPr>
          <w:p>
            <w:r>
              <w:t>Lunch</w:t>
            </w:r>
          </w:p>
        </w:tc>
        <w:tc>
          <w:tcPr>
            <w:tcW w:type="dxa" w:w="2498"/>
          </w:tcPr>
          <w:p>
            <w:r/>
          </w:p>
        </w:tc>
      </w:tr>
      <w:tr>
        <w:tc>
          <w:tcPr>
            <w:tcW w:type="dxa" w:w="2498"/>
          </w:tcPr>
          <w:p>
            <w:r>
              <w:t>13:40–15:00</w:t>
            </w:r>
          </w:p>
        </w:tc>
        <w:tc>
          <w:tcPr>
            <w:tcW w:type="dxa" w:w="2498"/>
          </w:tcPr>
          <w:p>
            <w:r>
              <w:t>80</w:t>
            </w:r>
          </w:p>
        </w:tc>
        <w:tc>
          <w:tcPr>
            <w:tcW w:type="dxa" w:w="2498"/>
          </w:tcPr>
          <w:p>
            <w:r>
              <w:t>Activities 10–11: reconciled reporting pack and GST control</w:t>
            </w:r>
          </w:p>
        </w:tc>
        <w:tc>
          <w:tcPr>
            <w:tcW w:type="dxa" w:w="2498"/>
          </w:tcPr>
          <w:p>
            <w:r>
              <w:t>92–95</w:t>
            </w:r>
          </w:p>
        </w:tc>
      </w:tr>
      <w:tr>
        <w:tc>
          <w:tcPr>
            <w:tcW w:type="dxa" w:w="2498"/>
          </w:tcPr>
          <w:p>
            <w:r>
              <w:t>15:00–16:15</w:t>
            </w:r>
          </w:p>
        </w:tc>
        <w:tc>
          <w:tcPr>
            <w:tcW w:type="dxa" w:w="2498"/>
          </w:tcPr>
          <w:p>
            <w:r>
              <w:t>75</w:t>
            </w:r>
          </w:p>
        </w:tc>
        <w:tc>
          <w:tcPr>
            <w:tcW w:type="dxa" w:w="2498"/>
          </w:tcPr>
          <w:p>
            <w:r>
              <w:t>Topic 3: applicable framework, accrual, revenue, inventory, PPE, FX</w:t>
            </w:r>
          </w:p>
        </w:tc>
        <w:tc>
          <w:tcPr>
            <w:tcW w:type="dxa" w:w="2498"/>
          </w:tcPr>
          <w:p>
            <w:r>
              <w:t>98–115</w:t>
            </w:r>
          </w:p>
        </w:tc>
      </w:tr>
      <w:tr>
        <w:tc>
          <w:tcPr>
            <w:tcW w:type="dxa" w:w="2498"/>
          </w:tcPr>
          <w:p>
            <w:r>
              <w:t>16:15–17:10</w:t>
            </w:r>
          </w:p>
        </w:tc>
        <w:tc>
          <w:tcPr>
            <w:tcW w:type="dxa" w:w="2498"/>
          </w:tcPr>
          <w:p>
            <w:r>
              <w:t>55</w:t>
            </w:r>
          </w:p>
        </w:tc>
        <w:tc>
          <w:tcPr>
            <w:tcW w:type="dxa" w:w="2498"/>
          </w:tcPr>
          <w:p>
            <w:r>
              <w:t>Estimates/errors/policy changes, qualitative characteristics, system-to-standard bridge, Activity 12 capstone</w:t>
            </w:r>
          </w:p>
        </w:tc>
        <w:tc>
          <w:tcPr>
            <w:tcW w:type="dxa" w:w="2498"/>
          </w:tcPr>
          <w:p>
            <w:r>
              <w:t>123–125</w:t>
            </w:r>
          </w:p>
        </w:tc>
      </w:tr>
      <w:tr>
        <w:tc>
          <w:tcPr>
            <w:tcW w:type="dxa" w:w="2498"/>
            <w:shd w:fill="E8F7EE"/>
          </w:tcPr>
          <w:p>
            <w:r>
              <w:t>17:10–17:30</w:t>
            </w:r>
          </w:p>
        </w:tc>
        <w:tc>
          <w:tcPr>
            <w:tcW w:type="dxa" w:w="2498"/>
            <w:shd w:fill="E8F7EE"/>
          </w:tcPr>
          <w:p>
            <w:r>
              <w:t>20</w:t>
            </w:r>
          </w:p>
        </w:tc>
        <w:tc>
          <w:tcPr>
            <w:tcW w:type="dxa" w:w="2498"/>
            <w:shd w:fill="E8F7EE"/>
          </w:tcPr>
          <w:p>
            <w:r>
              <w:t>Consolidation, course feedback and Q&amp;A</w:t>
            </w:r>
          </w:p>
        </w:tc>
        <w:tc>
          <w:tcPr>
            <w:tcW w:type="dxa" w:w="2498"/>
            <w:shd w:fill="E8F7EE"/>
          </w:tcPr>
          <w:p>
            <w:r>
              <w:t>126–129</w:t>
            </w:r>
          </w:p>
        </w:tc>
      </w:tr>
    </w:tbl>
    <w:p>
      <w:r>
        <w:rPr>
          <w:b/>
        </w:rPr>
        <w:t>Instructional time: 450 minutes (7.5 hours), 9:30am – 5:30pm with a single 30-minute lunch.</w:t>
      </w:r>
    </w:p>
    <w:p>
      <w:pPr>
        <w:pStyle w:val="Heading1"/>
      </w:pPr>
      <w:r>
        <w:t>Activity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  <w:tc>
          <w:tcPr>
            <w:tcW w:type="dxa" w:w="2498"/>
            <w:shd w:fill="1F6FEB"/>
          </w:tcPr>
          <w:p>
            <w:r>
              <w:rPr>
                <w:b/>
                <w:color w:val="FFFFFF"/>
              </w:rPr>
              <w:t>Primary output</w:t>
            </w:r>
          </w:p>
        </w:tc>
      </w:tr>
      <w:tr>
        <w:tc>
          <w:tcPr>
            <w:tcW w:type="dxa" w:w="2498"/>
          </w:tcPr>
          <w:p>
            <w:r>
              <w:t>01 · Design a Control-Ready Company File</w:t>
            </w:r>
          </w:p>
        </w:tc>
        <w:tc>
          <w:tcPr>
            <w:tcW w:type="dxa" w:w="2498"/>
          </w:tcPr>
          <w:p>
            <w:r>
              <w:t>Foundation bridge</w:t>
            </w:r>
          </w:p>
        </w:tc>
        <w:tc>
          <w:tcPr>
            <w:tcW w:type="dxa" w:w="2498"/>
          </w:tcPr>
          <w:p>
            <w:r>
              <w:t>45–46</w:t>
            </w:r>
          </w:p>
        </w:tc>
        <w:tc>
          <w:tcPr>
            <w:tcW w:type="dxa" w:w="2498"/>
          </w:tcPr>
          <w:p>
            <w:r>
              <w:t>Approved account-mapping workbook</w:t>
            </w:r>
          </w:p>
        </w:tc>
      </w:tr>
      <w:tr>
        <w:tc>
          <w:tcPr>
            <w:tcW w:type="dxa" w:w="2498"/>
          </w:tcPr>
          <w:p>
            <w:r>
              <w:t>02 · Run an Advanced Order-to-Cash Cycle</w:t>
            </w:r>
          </w:p>
        </w:tc>
        <w:tc>
          <w:tcPr>
            <w:tcW w:type="dxa" w:w="2498"/>
          </w:tcPr>
          <w:p>
            <w:r>
              <w:t>Intermediate</w:t>
            </w:r>
          </w:p>
        </w:tc>
        <w:tc>
          <w:tcPr>
            <w:tcW w:type="dxa" w:w="2498"/>
          </w:tcPr>
          <w:p>
            <w:r>
              <w:t>47–48</w:t>
            </w:r>
          </w:p>
        </w:tc>
        <w:tc>
          <w:tcPr>
            <w:tcW w:type="dxa" w:w="2498"/>
          </w:tcPr>
          <w:p>
            <w:r>
              <w:t>Linked estimate/deposit/invoices/receipt/credit/refund evidence</w:t>
            </w:r>
          </w:p>
        </w:tc>
      </w:tr>
      <w:tr>
        <w:tc>
          <w:tcPr>
            <w:tcW w:type="dxa" w:w="2498"/>
          </w:tcPr>
          <w:p>
            <w:r>
              <w:t>03 · Control Procure-to-Pay and Supplier Exceptions</w:t>
            </w:r>
          </w:p>
        </w:tc>
        <w:tc>
          <w:tcPr>
            <w:tcW w:type="dxa" w:w="2498"/>
          </w:tcPr>
          <w:p>
            <w:r>
              <w:t>Intermediate</w:t>
            </w:r>
          </w:p>
        </w:tc>
        <w:tc>
          <w:tcPr>
            <w:tcW w:type="dxa" w:w="2498"/>
          </w:tcPr>
          <w:p>
            <w:r>
              <w:t>49–50</w:t>
            </w:r>
          </w:p>
        </w:tc>
        <w:tc>
          <w:tcPr>
            <w:tcW w:type="dxa" w:w="2498"/>
          </w:tcPr>
          <w:p>
            <w:r>
              <w:t>PO/bill/bill-credit/payment evidence</w:t>
            </w:r>
          </w:p>
        </w:tc>
      </w:tr>
      <w:tr>
        <w:tc>
          <w:tcPr>
            <w:tcW w:type="dxa" w:w="2498"/>
          </w:tcPr>
          <w:p>
            <w:r>
              <w:t>04 · Reconcile Inventory Quantity and Value</w:t>
            </w:r>
          </w:p>
        </w:tc>
        <w:tc>
          <w:tcPr>
            <w:tcW w:type="dxa" w:w="2498"/>
          </w:tcPr>
          <w:p>
            <w:r>
              <w:t>Intermediate</w:t>
            </w:r>
          </w:p>
        </w:tc>
        <w:tc>
          <w:tcPr>
            <w:tcW w:type="dxa" w:w="2498"/>
          </w:tcPr>
          <w:p>
            <w:r>
              <w:t>51–52</w:t>
            </w:r>
          </w:p>
        </w:tc>
        <w:tc>
          <w:tcPr>
            <w:tcW w:type="dxa" w:w="2498"/>
          </w:tcPr>
          <w:p>
            <w:r>
              <w:t>Inventory import/review file</w:t>
            </w:r>
          </w:p>
        </w:tc>
      </w:tr>
      <w:tr>
        <w:tc>
          <w:tcPr>
            <w:tcW w:type="dxa" w:w="2498"/>
          </w:tcPr>
          <w:p>
            <w:r>
              <w:t>05 · Measure Project Profitability and Billing Leakage</w:t>
            </w:r>
          </w:p>
        </w:tc>
        <w:tc>
          <w:tcPr>
            <w:tcW w:type="dxa" w:w="2498"/>
          </w:tcPr>
          <w:p>
            <w:r>
              <w:t>Advanced</w:t>
            </w:r>
          </w:p>
        </w:tc>
        <w:tc>
          <w:tcPr>
            <w:tcW w:type="dxa" w:w="2498"/>
          </w:tcPr>
          <w:p>
            <w:r>
              <w:t>53–54</w:t>
            </w:r>
          </w:p>
        </w:tc>
        <w:tc>
          <w:tcPr>
            <w:tcW w:type="dxa" w:w="2498"/>
          </w:tcPr>
          <w:p>
            <w:r>
              <w:t>Project setup and transactions</w:t>
            </w:r>
          </w:p>
        </w:tc>
      </w:tr>
      <w:tr>
        <w:tc>
          <w:tcPr>
            <w:tcW w:type="dxa" w:w="2498"/>
          </w:tcPr>
          <w:p>
            <w:r>
              <w:t>06 · Engineer Bank Rules and Feed Exceptions</w:t>
            </w:r>
          </w:p>
        </w:tc>
        <w:tc>
          <w:tcPr>
            <w:tcW w:type="dxa" w:w="2498"/>
          </w:tcPr>
          <w:p>
            <w:r>
              <w:t>Advanced</w:t>
            </w:r>
          </w:p>
        </w:tc>
        <w:tc>
          <w:tcPr>
            <w:tcW w:type="dxa" w:w="2498"/>
          </w:tcPr>
          <w:p>
            <w:r>
              <w:t>55–56</w:t>
            </w:r>
          </w:p>
        </w:tc>
        <w:tc>
          <w:tcPr>
            <w:tcW w:type="dxa" w:w="2498"/>
          </w:tcPr>
          <w:p>
            <w:r>
              <w:t>Reviewed bank-feed classification</w:t>
            </w:r>
          </w:p>
        </w:tc>
      </w:tr>
      <w:tr>
        <w:tc>
          <w:tcPr>
            <w:tcW w:type="dxa" w:w="2498"/>
          </w:tcPr>
          <w:p>
            <w:r>
              <w:t>07 · Resolve a Bank and Credit-Card Reconciliation</w:t>
            </w:r>
          </w:p>
        </w:tc>
        <w:tc>
          <w:tcPr>
            <w:tcW w:type="dxa" w:w="2498"/>
          </w:tcPr>
          <w:p>
            <w:r>
              <w:t>Advanced</w:t>
            </w:r>
          </w:p>
        </w:tc>
        <w:tc>
          <w:tcPr>
            <w:tcW w:type="dxa" w:w="2498"/>
          </w:tcPr>
          <w:p>
            <w:r>
              <w:t>57–58</w:t>
            </w:r>
          </w:p>
        </w:tc>
        <w:tc>
          <w:tcPr>
            <w:tcW w:type="dxa" w:w="2498"/>
          </w:tcPr>
          <w:p>
            <w:r>
              <w:t>Reconciliation workpaper</w:t>
            </w:r>
          </w:p>
        </w:tc>
      </w:tr>
      <w:tr>
        <w:tc>
          <w:tcPr>
            <w:tcW w:type="dxa" w:w="2498"/>
          </w:tcPr>
          <w:p>
            <w:r>
              <w:t>08 · Post and Reverse Month-End Adjustments</w:t>
            </w:r>
          </w:p>
        </w:tc>
        <w:tc>
          <w:tcPr>
            <w:tcW w:type="dxa" w:w="2498"/>
          </w:tcPr>
          <w:p>
            <w:r>
              <w:t>Advanced</w:t>
            </w:r>
          </w:p>
        </w:tc>
        <w:tc>
          <w:tcPr>
            <w:tcW w:type="dxa" w:w="2498"/>
          </w:tcPr>
          <w:p>
            <w:r>
              <w:t>59–60</w:t>
            </w:r>
          </w:p>
        </w:tc>
        <w:tc>
          <w:tcPr>
            <w:tcW w:type="dxa" w:w="2498"/>
          </w:tcPr>
          <w:p>
            <w:r>
              <w:t>Adjustment calculations</w:t>
            </w:r>
          </w:p>
        </w:tc>
      </w:tr>
      <w:tr>
        <w:tc>
          <w:tcPr>
            <w:tcW w:type="dxa" w:w="2498"/>
          </w:tcPr>
          <w:p>
            <w:r>
              <w:t>09 · Investigate Audit Log and Close-Control Breaches</w:t>
            </w:r>
          </w:p>
        </w:tc>
        <w:tc>
          <w:tcPr>
            <w:tcW w:type="dxa" w:w="2498"/>
          </w:tcPr>
          <w:p>
            <w:r>
              <w:t>Advanced</w:t>
            </w:r>
          </w:p>
        </w:tc>
        <w:tc>
          <w:tcPr>
            <w:tcW w:type="dxa" w:w="2498"/>
          </w:tcPr>
          <w:p>
            <w:r>
              <w:t>61–62</w:t>
            </w:r>
          </w:p>
        </w:tc>
        <w:tc>
          <w:tcPr>
            <w:tcW w:type="dxa" w:w="2498"/>
          </w:tcPr>
          <w:p>
            <w:r>
              <w:t>Audit-log investigation</w:t>
            </w:r>
          </w:p>
        </w:tc>
      </w:tr>
      <w:tr>
        <w:tc>
          <w:tcPr>
            <w:tcW w:type="dxa" w:w="2498"/>
          </w:tcPr>
          <w:p>
            <w:r>
              <w:t>10 · Build a Reconciled Financial Reporting Pack</w:t>
            </w:r>
          </w:p>
        </w:tc>
        <w:tc>
          <w:tcPr>
            <w:tcW w:type="dxa" w:w="2498"/>
          </w:tcPr>
          <w:p>
            <w:r>
              <w:t>Advanced</w:t>
            </w:r>
          </w:p>
        </w:tc>
        <w:tc>
          <w:tcPr>
            <w:tcW w:type="dxa" w:w="2498"/>
          </w:tcPr>
          <w:p>
            <w:r>
              <w:t>92–93</w:t>
            </w:r>
          </w:p>
        </w:tc>
        <w:tc>
          <w:tcPr>
            <w:tcW w:type="dxa" w:w="2498"/>
          </w:tcPr>
          <w:p>
            <w:r>
              <w:t>Reconciled P&amp;L, Balance Sheet, and Cash Flow</w:t>
            </w:r>
          </w:p>
        </w:tc>
      </w:tr>
      <w:tr>
        <w:tc>
          <w:tcPr>
            <w:tcW w:type="dxa" w:w="2498"/>
          </w:tcPr>
          <w:p>
            <w:r>
              <w:t>11 · Prepare a GST Control and F5 Working Paper</w:t>
            </w:r>
          </w:p>
        </w:tc>
        <w:tc>
          <w:tcPr>
            <w:tcW w:type="dxa" w:w="2498"/>
          </w:tcPr>
          <w:p>
            <w:r>
              <w:t>Advanced</w:t>
            </w:r>
          </w:p>
        </w:tc>
        <w:tc>
          <w:tcPr>
            <w:tcW w:type="dxa" w:w="2498"/>
          </w:tcPr>
          <w:p>
            <w:r>
              <w:t>94–95</w:t>
            </w:r>
          </w:p>
        </w:tc>
        <w:tc>
          <w:tcPr>
            <w:tcW w:type="dxa" w:w="2498"/>
          </w:tcPr>
          <w:p>
            <w:r>
              <w:t>GST transaction review</w:t>
            </w:r>
          </w:p>
        </w:tc>
      </w:tr>
      <w:tr>
        <w:tc>
          <w:tcPr>
            <w:tcW w:type="dxa" w:w="2498"/>
          </w:tcPr>
          <w:p>
            <w:r>
              <w:t>12 · Capstone: Translate a Reporting Change into Books and Reports</w:t>
            </w:r>
          </w:p>
        </w:tc>
        <w:tc>
          <w:tcPr>
            <w:tcW w:type="dxa" w:w="2498"/>
          </w:tcPr>
          <w:p>
            <w:r>
              <w:t>Capstone</w:t>
            </w:r>
          </w:p>
        </w:tc>
        <w:tc>
          <w:tcPr>
            <w:tcW w:type="dxa" w:w="2498"/>
          </w:tcPr>
          <w:p>
            <w:r>
              <w:t>123–124</w:t>
            </w:r>
          </w:p>
        </w:tc>
        <w:tc>
          <w:tcPr>
            <w:tcW w:type="dxa" w:w="2498"/>
          </w:tcPr>
          <w:p>
            <w:r>
              <w:t>Standards impact review</w:t>
            </w:r>
          </w:p>
        </w:tc>
      </w:tr>
    </w:tbl>
    <w:sectPr w:rsidR="00FC693F" w:rsidRPr="0006063C" w:rsidSect="00034616">
      <w:footerReference w:type="default" r:id="rId9"/>
      <w:headerReference w:type="default" r:id="rId11"/>
      <w:footerReference w:type="first" r:id="rId12"/>
      <w:footerReference w:type="even" r:id="rId13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© Tertiary Infotech Academy Pte Ltd · C699 · Page </w:t>
    </w:r>
    <w:r/>
    <w:fldSimple w:instr="PAGE"/>
    <w:r>
      <w:t xml:space="preserve"> of </w:t>
    </w:r>
    <w:r/>
    <w:fldSimple w:instr="NUMPAGES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C3AE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4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LP-QuickBooks Accounting Masterclass (C699)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