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Sustainability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C752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0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Initial release of the Sustainability Masterclass learner guide: standards, Singapore context and nine real-use-case activities</w:t>
            </w:r>
          </w:p>
        </w:tc>
        <w:tc>
          <w:tcPr>
            <w:tcW w:type="dxa" w:w="243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How to Use This Learner Guide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Analyse Carbon Emission Hotspots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 Activities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Prioritise Reduction Initiatives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 Activities</w:t>
        <w:tab/>
        <w:t>16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Develop the Reduction Plan</w:t>
        <w:tab/>
        <w:t>20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 Activities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</w:t>
        <w:tab/>
        <w:t>28</w:t>
      </w:r>
    </w:p>
    <w:p>
      <w:r>
        <w:br w:type="page"/>
      </w:r>
    </w:p>
    <w:p>
      <w:pPr>
        <w:pStyle w:val="Heading1"/>
      </w:pPr>
      <w:r>
        <w:t>How to Use This Learner Guide</w:t>
      </w:r>
    </w:p>
    <w:p>
      <w:r>
        <w:t>This guide contains the detailed concepts, activity procedures, scenarios and questions. The slide deck is deliberately visual and concise; use this guide for procedural detail, calculations and evidence expectations.</w:t>
      </w:r>
    </w:p>
    <w:p>
      <w:pPr>
        <w:pStyle w:val="Heading2"/>
      </w:pPr>
      <w:r>
        <w:t>Course Information</w:t>
      </w:r>
    </w:p>
    <w:p>
      <w:r>
        <w:rPr>
          <w:b/>
        </w:rPr>
        <w:t>Course: Sustainability Masterclass</w:t>
      </w:r>
      <w:r/>
    </w:p>
    <w:p>
      <w:r>
        <w:rPr>
          <w:b/>
        </w:rPr>
        <w:t>Course code: C752</w:t>
      </w:r>
      <w:r/>
    </w:p>
    <w:p>
      <w:r>
        <w:rPr>
          <w:b/>
        </w:rPr>
        <w:t>Duration: 15 instructional hours over 2 days (9:30am – 5:30pm)</w:t>
      </w:r>
      <w:r/>
    </w:p>
    <w:p>
      <w:r>
        <w:rPr>
          <w:b/>
        </w:rPr>
        <w:t xml:space="preserve">Trainer: </w:t>
      </w:r>
      <w:r>
        <w:t>Dr Alfred Ang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 — Analyse carbon emission hotspots using recognised standards, boundaries and reliable activity data.</w:t>
      </w:r>
    </w:p>
    <w:p>
      <w:pPr>
        <w:pStyle w:val="ListBullet"/>
      </w:pPr>
      <w:r>
        <w:t>LO2 — Prioritise carbon-footprint reduction initiatives using projections, feasibility, cost-benefit and decision tools.</w:t>
      </w:r>
    </w:p>
    <w:p>
      <w:pPr>
        <w:pStyle w:val="ListBullet"/>
      </w:pPr>
      <w:r>
        <w:t>LO3 — Develop an implementable carbon-footprint reduction plan with governance, targets, monitoring and continual improvement.</w:t>
      </w:r>
    </w:p>
    <w:p>
      <w:pPr>
        <w:pStyle w:val="Heading1"/>
      </w:pPr>
      <w:r>
        <w:t>Topic 1: Analyse Carbon Emission Hotspots</w:t>
      </w:r>
    </w:p>
    <w:p>
      <w:r>
        <w:t>Standards, boundaries, data, scopes and hotspot diagnosis</w:t>
      </w:r>
    </w:p>
    <w:p>
      <w:r>
        <w:rPr>
          <w:b/>
        </w:rPr>
        <w:t>Learning outcome: LO1</w:t>
      </w:r>
      <w:r/>
    </w:p>
    <w:p>
      <w:pPr>
        <w:pStyle w:val="Heading2"/>
      </w:pPr>
      <w:r>
        <w:t>A Carbon Inventory Is a Decision System</w:t>
      </w:r>
    </w:p>
    <w:p>
      <w:r>
        <w:rPr>
          <w:b/>
        </w:rPr>
        <w:t xml:space="preserve">Purpose: </w:t>
      </w:r>
      <w:r>
        <w:t>Translate physical activity into comparable tCO₂e for decisions.</w:t>
      </w:r>
    </w:p>
    <w:p>
      <w:r>
        <w:rPr>
          <w:b/>
        </w:rPr>
        <w:t xml:space="preserve">Boundary: </w:t>
      </w:r>
      <w:r>
        <w:t>State which entities, operations, gases and period are included.</w:t>
      </w:r>
    </w:p>
    <w:p>
      <w:r>
        <w:rPr>
          <w:b/>
        </w:rPr>
        <w:t xml:space="preserve">Method: </w:t>
      </w:r>
      <w:r>
        <w:t>Use consistent activity data, emission factors and global-warming potentials.</w:t>
      </w:r>
    </w:p>
    <w:p>
      <w:r>
        <w:rPr>
          <w:b/>
        </w:rPr>
        <w:t xml:space="preserve">Evidence: </w:t>
      </w:r>
      <w:r>
        <w:t>Retain sources, assumptions, controls and recalculation rules.</w:t>
      </w:r>
    </w:p>
    <w:p>
      <w:pPr>
        <w:pStyle w:val="Heading2"/>
      </w:pPr>
      <w:r>
        <w:t>Build a Corporate Inventory in Five Moves</w:t>
      </w:r>
    </w:p>
    <w:p>
      <w:r>
        <w:t>1. Set organisational boundary</w:t>
      </w:r>
    </w:p>
    <w:p>
      <w:r>
        <w:t>2. Set operational boundary</w:t>
      </w:r>
    </w:p>
    <w:p>
      <w:r>
        <w:t>3. Collect activity data</w:t>
      </w:r>
    </w:p>
    <w:p>
      <w:r>
        <w:t>4. Calculate and consolidate</w:t>
      </w:r>
    </w:p>
    <w:p>
      <w:r>
        <w:t>5. Report, verify and improve</w:t>
      </w:r>
    </w:p>
    <w:p>
      <w:pPr>
        <w:pStyle w:val="Heading2"/>
      </w:pPr>
      <w:r>
        <w:t>Five Principles Protect Decision Quality</w:t>
      </w:r>
    </w:p>
    <w:p>
      <w:r>
        <w:rPr>
          <w:b/>
        </w:rPr>
        <w:t xml:space="preserve">Relevance: </w:t>
      </w:r>
      <w:r>
        <w:t>Reflect the organisation and users’ needs.</w:t>
      </w:r>
    </w:p>
    <w:p>
      <w:r>
        <w:rPr>
          <w:b/>
        </w:rPr>
        <w:t xml:space="preserve">Completeness: </w:t>
      </w:r>
      <w:r>
        <w:t>Account for all sources within the boundary; disclose exclusions.</w:t>
      </w:r>
    </w:p>
    <w:p>
      <w:r>
        <w:rPr>
          <w:b/>
        </w:rPr>
        <w:t xml:space="preserve">Consistency: </w:t>
      </w:r>
      <w:r>
        <w:t>Enable meaningful comparison over time.</w:t>
      </w:r>
    </w:p>
    <w:p>
      <w:r>
        <w:rPr>
          <w:b/>
        </w:rPr>
        <w:t xml:space="preserve">Transparency: </w:t>
      </w:r>
      <w:r>
        <w:t>Disclose methods, assumptions and evidence.</w:t>
      </w:r>
    </w:p>
    <w:p>
      <w:r>
        <w:rPr>
          <w:b/>
        </w:rPr>
        <w:t xml:space="preserve">Accuracy: </w:t>
      </w:r>
      <w:r>
        <w:t>Reduce bias and uncertainty as far as practical.</w:t>
      </w:r>
    </w:p>
    <w:p>
      <w:pPr>
        <w:pStyle w:val="Heading2"/>
      </w:pPr>
      <w:r>
        <w:t>Organisational Boundary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Equity share</w:t>
            </w:r>
          </w:p>
        </w:tc>
        <w:tc>
          <w:tcPr>
            <w:tcW w:type="dxa" w:w="4860"/>
          </w:tcPr>
          <w:p>
            <w:r>
              <w:t>Control approach</w:t>
            </w:r>
          </w:p>
        </w:tc>
      </w:tr>
      <w:tr>
        <w:tc>
          <w:tcPr>
            <w:tcW w:type="dxa" w:w="4860"/>
          </w:tcPr>
          <w:p>
            <w:r>
              <w:t>Account according to economic interest</w:t>
            </w:r>
          </w:p>
        </w:tc>
        <w:tc>
          <w:tcPr>
            <w:tcW w:type="dxa" w:w="4860"/>
          </w:tcPr>
          <w:p>
            <w:r>
              <w:t>Account for operations under financial or operational control</w:t>
            </w:r>
          </w:p>
        </w:tc>
      </w:tr>
      <w:tr>
        <w:tc>
          <w:tcPr>
            <w:tcW w:type="dxa" w:w="4860"/>
          </w:tcPr>
          <w:p>
            <w:r>
              <w:t>Useful where ownership shares matter</w:t>
            </w:r>
          </w:p>
        </w:tc>
        <w:tc>
          <w:tcPr>
            <w:tcW w:type="dxa" w:w="4860"/>
          </w:tcPr>
          <w:p>
            <w:r>
              <w:t>Often aligns with management systems</w:t>
            </w:r>
          </w:p>
        </w:tc>
      </w:tr>
      <w:tr>
        <w:tc>
          <w:tcPr>
            <w:tcW w:type="dxa" w:w="4860"/>
          </w:tcPr>
          <w:p>
            <w:r>
              <w:t>Apply consistently across investments</w:t>
            </w:r>
          </w:p>
        </w:tc>
        <w:tc>
          <w:tcPr>
            <w:tcW w:type="dxa" w:w="4860"/>
          </w:tcPr>
          <w:p>
            <w:r>
              <w:t>Document the chosen control test</w:t>
            </w:r>
          </w:p>
        </w:tc>
      </w:tr>
    </w:tbl>
    <w:p>
      <w:pPr>
        <w:pStyle w:val="Heading2"/>
      </w:pPr>
      <w:r>
        <w:t>How the Standards Fit Together</w:t>
      </w:r>
    </w:p>
    <w:p>
      <w:r>
        <w:t>1. ISO 14001 structures the EMS</w:t>
      </w:r>
    </w:p>
    <w:p>
      <w:r>
        <w:t>2. GHG Protocol structures corporate accounting</w:t>
      </w:r>
    </w:p>
    <w:p>
      <w:r>
        <w:t>3. ISO 14064-1 supports organisation-level quantification</w:t>
      </w:r>
    </w:p>
    <w:p>
      <w:r>
        <w:t>4. ISO 14064-3 supports verification</w:t>
      </w:r>
    </w:p>
    <w:p>
      <w:r>
        <w:t>5. Assurance strengthens confidence</w:t>
      </w:r>
    </w:p>
    <w:p>
      <w:pPr>
        <w:pStyle w:val="Heading2"/>
      </w:pPr>
      <w:r>
        <w:t>Accounting Standard vs Management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GHG Protocol / ISO 14064</w:t>
            </w:r>
          </w:p>
        </w:tc>
        <w:tc>
          <w:tcPr>
            <w:tcW w:type="dxa" w:w="4860"/>
          </w:tcPr>
          <w:p>
            <w:r>
              <w:t>ISO 14001 EMS</w:t>
            </w:r>
          </w:p>
        </w:tc>
      </w:tr>
      <w:tr>
        <w:tc>
          <w:tcPr>
            <w:tcW w:type="dxa" w:w="4860"/>
          </w:tcPr>
          <w:p>
            <w:r>
              <w:t>What and how much is emitted</w:t>
            </w:r>
          </w:p>
        </w:tc>
        <w:tc>
          <w:tcPr>
            <w:tcW w:type="dxa" w:w="4860"/>
          </w:tcPr>
          <w:p>
            <w:r>
              <w:t>How environmental performance is managed</w:t>
            </w:r>
          </w:p>
        </w:tc>
      </w:tr>
      <w:tr>
        <w:tc>
          <w:tcPr>
            <w:tcW w:type="dxa" w:w="4860"/>
          </w:tcPr>
          <w:p>
            <w:r>
              <w:t>Boundaries, categories, calculations</w:t>
            </w:r>
          </w:p>
        </w:tc>
        <w:tc>
          <w:tcPr>
            <w:tcW w:type="dxa" w:w="4860"/>
          </w:tcPr>
          <w:p>
            <w:r>
              <w:t>Policy, objectives, controls and review</w:t>
            </w:r>
          </w:p>
        </w:tc>
      </w:tr>
      <w:tr>
        <w:tc>
          <w:tcPr>
            <w:tcW w:type="dxa" w:w="4860"/>
          </w:tcPr>
          <w:p>
            <w:r>
              <w:t>Inventory quality and reporting</w:t>
            </w:r>
          </w:p>
        </w:tc>
        <w:tc>
          <w:tcPr>
            <w:tcW w:type="dxa" w:w="4860"/>
          </w:tcPr>
          <w:p>
            <w:r>
              <w:t>Continual improvement through PDCA</w:t>
            </w:r>
          </w:p>
        </w:tc>
      </w:tr>
    </w:tbl>
    <w:p>
      <w:pPr>
        <w:pStyle w:val="Heading2"/>
      </w:pPr>
      <w:r>
        <w:t>The Seven Greenhouse Gases</w:t>
      </w:r>
    </w:p>
    <w:p>
      <w:r>
        <w:rPr>
          <w:b/>
        </w:rPr>
        <w:t xml:space="preserve">CO₂: </w:t>
      </w:r>
      <w:r>
        <w:t>Fuel and process emissions</w:t>
      </w:r>
    </w:p>
    <w:p>
      <w:r>
        <w:rPr>
          <w:b/>
        </w:rPr>
        <w:t xml:space="preserve">CH₄: </w:t>
      </w:r>
      <w:r>
        <w:t>Waste, agriculture and fugitive emissions</w:t>
      </w:r>
    </w:p>
    <w:p>
      <w:r>
        <w:rPr>
          <w:b/>
        </w:rPr>
        <w:t xml:space="preserve">N₂O: </w:t>
      </w:r>
      <w:r>
        <w:t>Combustion, fertiliser and processes</w:t>
      </w:r>
    </w:p>
    <w:p>
      <w:r>
        <w:rPr>
          <w:b/>
        </w:rPr>
        <w:t xml:space="preserve">HFCs: </w:t>
      </w:r>
      <w:r>
        <w:t>Refrigeration and cooling</w:t>
      </w:r>
    </w:p>
    <w:p>
      <w:r>
        <w:rPr>
          <w:b/>
        </w:rPr>
        <w:t xml:space="preserve">PFCs: </w:t>
      </w:r>
      <w:r>
        <w:t>Electronics and industrial processes</w:t>
      </w:r>
    </w:p>
    <w:p>
      <w:r>
        <w:rPr>
          <w:b/>
        </w:rPr>
        <w:t xml:space="preserve">SF₆: </w:t>
      </w:r>
      <w:r>
        <w:t>Electrical equipment</w:t>
      </w:r>
    </w:p>
    <w:p>
      <w:r>
        <w:rPr>
          <w:b/>
        </w:rPr>
        <w:t xml:space="preserve">NF₃: </w:t>
      </w:r>
      <w:r>
        <w:t>Electronics and semiconductor manufacturing</w:t>
      </w:r>
    </w:p>
    <w:p>
      <w:pPr>
        <w:pStyle w:val="Heading2"/>
      </w:pPr>
      <w:r>
        <w:t>From Activity to tCO₂e</w:t>
      </w:r>
    </w:p>
    <w:p>
      <w:r>
        <w:t>A transparent inventory keeps every assumption visible.</w:t>
      </w:r>
    </w:p>
    <w:p>
      <w:r>
        <w:rPr>
          <w:b/>
        </w:rPr>
        <w:t>Emissions (tCO₂e) = Activity data × Emission factor × GWP ÷ unit conversion</w:t>
      </w:r>
    </w:p>
    <w:p>
      <w:pPr>
        <w:pStyle w:val="ListBullet"/>
      </w:pPr>
      <w:r>
        <w:t>Example: kWh × kg CO₂e/kWh ÷ 1,000</w:t>
      </w:r>
    </w:p>
    <w:p>
      <w:pPr>
        <w:pStyle w:val="ListBullet"/>
      </w:pPr>
      <w:r>
        <w:t>Use the factor for the correct geography and year</w:t>
      </w:r>
    </w:p>
    <w:p>
      <w:pPr>
        <w:pStyle w:val="ListBullet"/>
      </w:pPr>
      <w:r>
        <w:t>Record factor source, unit and uncertainty</w:t>
      </w:r>
    </w:p>
    <w:p>
      <w:pPr>
        <w:pStyle w:val="Heading2"/>
      </w:pPr>
      <w:r>
        <w:t>A Practical Data-Quality Ladder</w:t>
      </w:r>
    </w:p>
    <w:p>
      <w:r>
        <w:rPr>
          <w:b/>
        </w:rPr>
        <w:t xml:space="preserve">1 · Supplier-specific: </w:t>
      </w:r>
      <w:r>
        <w:t>Verified primary data for the exact product or service.</w:t>
      </w:r>
    </w:p>
    <w:p>
      <w:r>
        <w:rPr>
          <w:b/>
        </w:rPr>
        <w:t xml:space="preserve">2 · Metered activity: </w:t>
      </w:r>
      <w:r>
        <w:t>Invoices, meters, fuel records or logistics data.</w:t>
      </w:r>
    </w:p>
    <w:p>
      <w:r>
        <w:rPr>
          <w:b/>
        </w:rPr>
        <w:t xml:space="preserve">3 · Engineering estimate: </w:t>
      </w:r>
      <w:r>
        <w:t>Measured drivers with documented assumptions.</w:t>
      </w:r>
    </w:p>
    <w:p>
      <w:r>
        <w:rPr>
          <w:b/>
        </w:rPr>
        <w:t xml:space="preserve">4 · Spend proxy: </w:t>
      </w:r>
      <w:r>
        <w:t>Currency × environmentally extended input-output factor.</w:t>
      </w:r>
    </w:p>
    <w:p>
      <w:r>
        <w:rPr>
          <w:b/>
        </w:rPr>
        <w:t xml:space="preserve">5 · Unsupported guess: </w:t>
      </w:r>
      <w:r>
        <w:t>Use only temporarily; flag for improvement.</w:t>
      </w:r>
    </w:p>
    <w:p>
      <w:pPr>
        <w:pStyle w:val="Heading2"/>
      </w:pPr>
      <w:r>
        <w:t>Three Scopes Prevent Category Confusion</w:t>
      </w:r>
    </w:p>
    <w:p>
      <w:r>
        <w:rPr>
          <w:b/>
        </w:rPr>
        <w:t xml:space="preserve">Scope 1: </w:t>
      </w:r>
      <w:r>
        <w:t>Direct emissions from sources owned or controlled.</w:t>
      </w:r>
    </w:p>
    <w:p>
      <w:r>
        <w:rPr>
          <w:b/>
        </w:rPr>
        <w:t xml:space="preserve">Scope 2: </w:t>
      </w:r>
      <w:r>
        <w:t>Indirect emissions from purchased electricity, steam, heat or cooling.</w:t>
      </w:r>
    </w:p>
    <w:p>
      <w:r>
        <w:rPr>
          <w:b/>
        </w:rPr>
        <w:t xml:space="preserve">Scope 3: </w:t>
      </w:r>
      <w:r>
        <w:t>Other value-chain emissions upstream and downstream.</w:t>
      </w:r>
    </w:p>
    <w:p>
      <w:r>
        <w:rPr>
          <w:b/>
        </w:rPr>
        <w:t xml:space="preserve">Rule: </w:t>
      </w:r>
      <w:r>
        <w:t>Scopes describe responsibility for accounting—not moral blame.</w:t>
      </w:r>
    </w:p>
    <w:p>
      <w:pPr>
        <w:pStyle w:val="Heading2"/>
      </w:pPr>
      <w:r>
        <w:t>Location-Based and Market-Based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Location-based</w:t>
            </w:r>
          </w:p>
        </w:tc>
        <w:tc>
          <w:tcPr>
            <w:tcW w:type="dxa" w:w="4860"/>
          </w:tcPr>
          <w:p>
            <w:r>
              <w:t>Market-based</w:t>
            </w:r>
          </w:p>
        </w:tc>
      </w:tr>
      <w:tr>
        <w:tc>
          <w:tcPr>
            <w:tcW w:type="dxa" w:w="4860"/>
          </w:tcPr>
          <w:p>
            <w:r>
              <w:t>Average grid emissions where consumption occurs</w:t>
            </w:r>
          </w:p>
        </w:tc>
        <w:tc>
          <w:tcPr>
            <w:tcW w:type="dxa" w:w="4860"/>
          </w:tcPr>
          <w:p>
            <w:r>
              <w:t>Contractual instruments and supplier attributes</w:t>
            </w:r>
          </w:p>
        </w:tc>
      </w:tr>
      <w:tr>
        <w:tc>
          <w:tcPr>
            <w:tcW w:type="dxa" w:w="4860"/>
          </w:tcPr>
          <w:p>
            <w:r>
              <w:t>Useful for physical system context</w:t>
            </w:r>
          </w:p>
        </w:tc>
        <w:tc>
          <w:tcPr>
            <w:tcW w:type="dxa" w:w="4860"/>
          </w:tcPr>
          <w:p>
            <w:r>
              <w:t>Requires quality criteria and evidence</w:t>
            </w:r>
          </w:p>
        </w:tc>
      </w:tr>
      <w:tr>
        <w:tc>
          <w:tcPr>
            <w:tcW w:type="dxa" w:w="4860"/>
          </w:tcPr>
          <w:p>
            <w:r>
              <w:t>Singapore example: EMA grid factor</w:t>
            </w:r>
          </w:p>
        </w:tc>
        <w:tc>
          <w:tcPr>
            <w:tcW w:type="dxa" w:w="4860"/>
          </w:tcPr>
          <w:p>
            <w:r>
              <w:t>Report both where applicable</w:t>
            </w:r>
          </w:p>
        </w:tc>
      </w:tr>
    </w:tbl>
    <w:p>
      <w:pPr>
        <w:pStyle w:val="Heading2"/>
      </w:pPr>
      <w:r>
        <w:t>Follow the Value Chain, Not the Org Chart</w:t>
      </w:r>
    </w:p>
    <w:p>
      <w:r>
        <w:rPr>
          <w:b/>
        </w:rPr>
        <w:t xml:space="preserve">Upstream: </w:t>
      </w:r>
      <w:r>
        <w:t>Purchased goods, capital goods, fuels, transport, waste, travel, commuting and leased assets.</w:t>
      </w:r>
    </w:p>
    <w:p>
      <w:r>
        <w:rPr>
          <w:b/>
        </w:rPr>
        <w:t xml:space="preserve">Downstream: </w:t>
      </w:r>
      <w:r>
        <w:t>Distribution, processing, use, end-of-life, leased assets, franchises and investments.</w:t>
      </w:r>
    </w:p>
    <w:p>
      <w:r>
        <w:rPr>
          <w:b/>
        </w:rPr>
        <w:t xml:space="preserve">Screen first: </w:t>
      </w:r>
      <w:r>
        <w:t>Estimate all relevant categories before investing in precision.</w:t>
      </w:r>
    </w:p>
    <w:p>
      <w:r>
        <w:rPr>
          <w:b/>
        </w:rPr>
        <w:t xml:space="preserve">Engage next: </w:t>
      </w:r>
      <w:r>
        <w:t>Improve supplier and customer data at material hotspots.</w:t>
      </w:r>
    </w:p>
    <w:p>
      <w:pPr>
        <w:pStyle w:val="Heading2"/>
      </w:pPr>
      <w:r>
        <w:t>The Hotspot Analysis Funnel</w:t>
      </w:r>
    </w:p>
    <w:p>
      <w:r>
        <w:t>1. Create source register</w:t>
      </w:r>
    </w:p>
    <w:p>
      <w:r>
        <w:t>2. Estimate complete footprint</w:t>
      </w:r>
    </w:p>
    <w:p>
      <w:r>
        <w:t>3. Rank absolute tCO₂e</w:t>
      </w:r>
    </w:p>
    <w:p>
      <w:r>
        <w:t>4. Test intensity and trend</w:t>
      </w:r>
    </w:p>
    <w:p>
      <w:r>
        <w:t>5. Investigate controllability and risk</w:t>
      </w:r>
    </w:p>
    <w:p>
      <w:pPr>
        <w:pStyle w:val="Heading2"/>
      </w:pPr>
      <w:r>
        <w:t>Illustrative Footprint by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Materials</w:t>
            </w:r>
          </w:p>
        </w:tc>
        <w:tc>
          <w:tcPr>
            <w:tcW w:type="dxa" w:w="4860"/>
          </w:tcPr>
          <w:p>
            <w:r>
              <w:t>44</w:t>
            </w:r>
          </w:p>
        </w:tc>
      </w:tr>
      <w:tr>
        <w:tc>
          <w:tcPr>
            <w:tcW w:type="dxa" w:w="4860"/>
          </w:tcPr>
          <w:p>
            <w:r>
              <w:t>Electricity</w:t>
            </w:r>
          </w:p>
        </w:tc>
        <w:tc>
          <w:tcPr>
            <w:tcW w:type="dxa" w:w="4860"/>
          </w:tcPr>
          <w:p>
            <w:r>
              <w:t>26</w:t>
            </w:r>
          </w:p>
        </w:tc>
      </w:tr>
      <w:tr>
        <w:tc>
          <w:tcPr>
            <w:tcW w:type="dxa" w:w="4860"/>
          </w:tcPr>
          <w:p>
            <w:r>
              <w:t>Freight</w:t>
            </w:r>
          </w:p>
        </w:tc>
        <w:tc>
          <w:tcPr>
            <w:tcW w:type="dxa" w:w="4860"/>
          </w:tcPr>
          <w:p>
            <w:r>
              <w:t>15</w:t>
            </w:r>
          </w:p>
        </w:tc>
      </w:tr>
      <w:tr>
        <w:tc>
          <w:tcPr>
            <w:tcW w:type="dxa" w:w="4860"/>
          </w:tcPr>
          <w:p>
            <w:r>
              <w:t>Fuel</w:t>
            </w:r>
          </w:p>
        </w:tc>
        <w:tc>
          <w:tcPr>
            <w:tcW w:type="dxa" w:w="4860"/>
          </w:tcPr>
          <w:p>
            <w:r>
              <w:t>10</w:t>
            </w:r>
          </w:p>
        </w:tc>
      </w:tr>
      <w:tr>
        <w:tc>
          <w:tcPr>
            <w:tcW w:type="dxa" w:w="4860"/>
          </w:tcPr>
          <w:p>
            <w:r>
              <w:t>Waste</w:t>
            </w:r>
          </w:p>
        </w:tc>
        <w:tc>
          <w:tcPr>
            <w:tcW w:type="dxa" w:w="4860"/>
          </w:tcPr>
          <w:p>
            <w:r>
              <w:t>5</w:t>
            </w:r>
          </w:p>
        </w:tc>
      </w:tr>
    </w:tbl>
    <w:p>
      <w:r>
        <w:t>Top two sources represent 70% of the screening footprint; validate them first.</w:t>
      </w:r>
    </w:p>
    <w:p>
      <w:pPr>
        <w:pStyle w:val="Heading2"/>
      </w:pPr>
      <w:r>
        <w:t>A Hotspot Is More Than the Largest Bar</w:t>
      </w:r>
    </w:p>
    <w:p>
      <w:r>
        <w:rPr>
          <w:b/>
        </w:rPr>
        <w:t xml:space="preserve">Magnitude: </w:t>
      </w:r>
      <w:r>
        <w:t>Absolute or intensity-based share of emissions.</w:t>
      </w:r>
    </w:p>
    <w:p>
      <w:r>
        <w:rPr>
          <w:b/>
        </w:rPr>
        <w:t xml:space="preserve">Influence: </w:t>
      </w:r>
      <w:r>
        <w:t>Ability to change technology, demand or supplier behaviour.</w:t>
      </w:r>
    </w:p>
    <w:p>
      <w:r>
        <w:rPr>
          <w:b/>
        </w:rPr>
        <w:t xml:space="preserve">Risk: </w:t>
      </w:r>
      <w:r>
        <w:t>Carbon price, regulation, disruption or reputation.</w:t>
      </w:r>
    </w:p>
    <w:p>
      <w:r>
        <w:rPr>
          <w:b/>
        </w:rPr>
        <w:t xml:space="preserve">Strategic fit: </w:t>
      </w:r>
      <w:r>
        <w:t>Connection to customers, growth and operational priorities.</w:t>
      </w:r>
    </w:p>
    <w:p>
      <w:pPr>
        <w:pStyle w:val="Heading2"/>
      </w:pPr>
      <w:r>
        <w:t>Common Inventory Failure Modes</w:t>
      </w:r>
    </w:p>
    <w:p>
      <w:r>
        <w:rPr>
          <w:b/>
        </w:rPr>
        <w:t xml:space="preserve">Missing sources: </w:t>
      </w:r>
      <w:r>
        <w:t>Completeness check against sites, ledgers and processes.</w:t>
      </w:r>
    </w:p>
    <w:p>
      <w:r>
        <w:rPr>
          <w:b/>
        </w:rPr>
        <w:t xml:space="preserve">Double counting: </w:t>
      </w:r>
      <w:r>
        <w:t>Clear ownership, category definitions and consolidation rules.</w:t>
      </w:r>
    </w:p>
    <w:p>
      <w:r>
        <w:rPr>
          <w:b/>
        </w:rPr>
        <w:t xml:space="preserve">Unit errors: </w:t>
      </w:r>
      <w:r>
        <w:t>Automated validation and unit conversion controls.</w:t>
      </w:r>
    </w:p>
    <w:p>
      <w:r>
        <w:rPr>
          <w:b/>
        </w:rPr>
        <w:t xml:space="preserve">Wrong factor: </w:t>
      </w:r>
      <w:r>
        <w:t>Versioned factor library with geography and year.</w:t>
      </w:r>
    </w:p>
    <w:p>
      <w:r>
        <w:rPr>
          <w:b/>
        </w:rPr>
        <w:t xml:space="preserve">Silent estimates: </w:t>
      </w:r>
      <w:r>
        <w:t>Estimate register with owner and replacement date.</w:t>
      </w:r>
    </w:p>
    <w:p>
      <w:pPr>
        <w:pStyle w:val="Heading2"/>
      </w:pPr>
      <w:r>
        <w:t>Can the SG Carbon Calculator Be Used Here?</w:t>
      </w:r>
    </w:p>
    <w:p>
      <w:r>
        <w:t>Is the objective personal engagement or a corporate inventory?</w:t>
      </w:r>
    </w:p>
    <w:p>
      <w:r>
        <w:rPr>
          <w:b/>
        </w:rPr>
        <w:t xml:space="preserve">If yes / fit: </w:t>
      </w:r>
      <w:r>
        <w:t>Personal engagement: use calculator outputs to start conversations and identify behaviours.</w:t>
      </w:r>
    </w:p>
    <w:p>
      <w:r>
        <w:rPr>
          <w:b/>
        </w:rPr>
        <w:t xml:space="preserve">If no / not yet: </w:t>
      </w:r>
      <w:r>
        <w:t>Corporate inventory: use controlled organisational activity data, documented factors and boundary rules.</w:t>
      </w:r>
    </w:p>
    <w:p>
      <w:r>
        <w:t>The calculator is a screening and learning aid—not a substitute for a GHG Protocol corporate inventory.</w:t>
      </w:r>
    </w:p>
    <w:p>
      <w:pPr>
        <w:pStyle w:val="Heading2"/>
      </w:pPr>
      <w:r>
        <w:t>Reading Singapore Electricity Data Correctly</w:t>
      </w:r>
    </w:p>
    <w:p>
      <w:r>
        <w:rPr>
          <w:b/>
        </w:rPr>
        <w:t xml:space="preserve">Published factor: </w:t>
      </w:r>
      <w:r>
        <w:t>EMA reported 0.402 kg CO₂/kWh for 2024.</w:t>
      </w:r>
    </w:p>
    <w:p>
      <w:r>
        <w:rPr>
          <w:b/>
        </w:rPr>
        <w:t xml:space="preserve">Correct year: </w:t>
      </w:r>
      <w:r>
        <w:t>Match the factor year to the reporting period.</w:t>
      </w:r>
    </w:p>
    <w:p>
      <w:r>
        <w:rPr>
          <w:b/>
        </w:rPr>
        <w:t xml:space="preserve">Correct unit: </w:t>
      </w:r>
      <w:r>
        <w:t>Convert kg to tonnes only once.</w:t>
      </w:r>
    </w:p>
    <w:p>
      <w:r>
        <w:rPr>
          <w:b/>
        </w:rPr>
        <w:t xml:space="preserve">Record evidence: </w:t>
      </w:r>
      <w:r>
        <w:t>Save the factor source and access date.</w:t>
      </w:r>
    </w:p>
    <w:p>
      <w:r>
        <w:rPr>
          <w:b/>
        </w:rPr>
        <w:t xml:space="preserve">Recalculate: </w:t>
      </w:r>
      <w:r>
        <w:t>Define when base-year electricity emissions are restated.</w:t>
      </w:r>
    </w:p>
    <w:p>
      <w:pPr>
        <w:pStyle w:val="Heading2"/>
      </w:pPr>
      <w:r>
        <w:t>Separate Carbon Value From Cash Value</w:t>
      </w:r>
    </w:p>
    <w:p>
      <w:r>
        <w:rPr>
          <w:b/>
        </w:rPr>
        <w:t xml:space="preserve">Carbon effect: </w:t>
      </w:r>
      <w:r>
        <w:t>Annual and lifetime tCO₂e avoided.</w:t>
      </w:r>
    </w:p>
    <w:p>
      <w:r>
        <w:rPr>
          <w:b/>
        </w:rPr>
        <w:t xml:space="preserve">Cash effect: </w:t>
      </w:r>
      <w:r>
        <w:t>Capex, opex, savings and residual value.</w:t>
      </w:r>
    </w:p>
    <w:p>
      <w:r>
        <w:rPr>
          <w:b/>
        </w:rPr>
        <w:t xml:space="preserve">Risk effect: </w:t>
      </w:r>
      <w:r>
        <w:t>Carbon tax, energy volatility and compliance exposure.</w:t>
      </w:r>
    </w:p>
    <w:p>
      <w:r>
        <w:rPr>
          <w:b/>
        </w:rPr>
        <w:t xml:space="preserve">Strategic effect: </w:t>
      </w:r>
      <w:r>
        <w:t>Resilience, customer value and learning.</w:t>
      </w:r>
    </w:p>
    <w:p>
      <w:pPr>
        <w:pStyle w:val="Heading2"/>
      </w:pPr>
      <w:r>
        <w:t>Simple Payback Is Fast—but Incomplete</w:t>
      </w:r>
    </w:p>
    <w:p>
      <w:r>
        <w:t>Useful as a screening metric when cash flows are stable.</w:t>
      </w:r>
    </w:p>
    <w:p>
      <w:r>
        <w:rPr>
          <w:b/>
        </w:rPr>
        <w:t>Simple payback (years) = Initial investment ÷ Annual net cash saving</w:t>
      </w:r>
    </w:p>
    <w:p>
      <w:pPr>
        <w:pStyle w:val="ListBullet"/>
      </w:pPr>
      <w:r>
        <w:t>Ignores time value of money</w:t>
      </w:r>
    </w:p>
    <w:p>
      <w:pPr>
        <w:pStyle w:val="ListBullet"/>
      </w:pPr>
      <w:r>
        <w:t>Ignores cash flows after payback</w:t>
      </w:r>
    </w:p>
    <w:p>
      <w:pPr>
        <w:pStyle w:val="ListBullet"/>
      </w:pPr>
      <w:r>
        <w:t>Never rank long-lived projects by payback alone</w:t>
      </w:r>
    </w:p>
    <w:p>
      <w:pPr>
        <w:pStyle w:val="Heading2"/>
      </w:pPr>
      <w:r>
        <w:t>NPV Makes Timing Explicit</w:t>
      </w:r>
    </w:p>
    <w:p>
      <w:r>
        <w:t>Discount future net cash flows to present value.</w:t>
      </w:r>
    </w:p>
    <w:p>
      <w:r>
        <w:rPr>
          <w:b/>
        </w:rPr>
        <w:t>NPV = Σ [Net cash flowₜ ÷ (1+r)ᵗ] − Initial investment</w:t>
      </w:r>
    </w:p>
    <w:p>
      <w:pPr>
        <w:pStyle w:val="ListBullet"/>
      </w:pPr>
      <w:r>
        <w:t>Positive NPV creates financial value at the chosen discount rate</w:t>
      </w:r>
    </w:p>
    <w:p>
      <w:pPr>
        <w:pStyle w:val="ListBullet"/>
      </w:pPr>
      <w:r>
        <w:t>Test energy price, utilisation and maintenance assumptions</w:t>
      </w:r>
    </w:p>
    <w:p>
      <w:pPr>
        <w:pStyle w:val="ListBullet"/>
      </w:pPr>
      <w:r>
        <w:t>Use sensitivity analysis instead of false precision</w:t>
      </w:r>
    </w:p>
    <w:p>
      <w:pPr>
        <w:pStyle w:val="Heading2"/>
      </w:pPr>
      <w:r>
        <w:t>Compare Projects per Tonne Avoided</w:t>
      </w:r>
    </w:p>
    <w:p>
      <w:r>
        <w:t>Marginal abatement cost exposes the price of each carbon outcome.</w:t>
      </w:r>
    </w:p>
    <w:p>
      <w:r>
        <w:rPr>
          <w:b/>
        </w:rPr>
        <w:t>MAC = Lifetime net cost ÷ Lifetime tCO₂e avoided</w:t>
      </w:r>
    </w:p>
    <w:p>
      <w:pPr>
        <w:pStyle w:val="ListBullet"/>
      </w:pPr>
      <w:r>
        <w:t>Negative cost means the measure saves money</w:t>
      </w:r>
    </w:p>
    <w:p>
      <w:pPr>
        <w:pStyle w:val="ListBullet"/>
      </w:pPr>
      <w:r>
        <w:t>Use consistent lifetime and discounting</w:t>
      </w:r>
    </w:p>
    <w:p>
      <w:pPr>
        <w:pStyle w:val="ListBullet"/>
      </w:pPr>
      <w:r>
        <w:t>Do not ignore feasibility and dependencies</w:t>
      </w:r>
    </w:p>
    <w:p>
      <w:pPr>
        <w:pStyle w:val="Heading2"/>
      </w:pPr>
      <w:r>
        <w:t>Illustrative Abatement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LED</w:t>
            </w:r>
          </w:p>
        </w:tc>
        <w:tc>
          <w:tcPr>
            <w:tcW w:type="dxa" w:w="4860"/>
          </w:tcPr>
          <w:p>
            <w:r>
              <w:t>-55</w:t>
            </w:r>
          </w:p>
        </w:tc>
      </w:tr>
      <w:tr>
        <w:tc>
          <w:tcPr>
            <w:tcW w:type="dxa" w:w="4860"/>
          </w:tcPr>
          <w:p>
            <w:r>
              <w:t>Controls</w:t>
            </w:r>
          </w:p>
        </w:tc>
        <w:tc>
          <w:tcPr>
            <w:tcW w:type="dxa" w:w="4860"/>
          </w:tcPr>
          <w:p>
            <w:r>
              <w:t>-20</w:t>
            </w:r>
          </w:p>
        </w:tc>
      </w:tr>
      <w:tr>
        <w:tc>
          <w:tcPr>
            <w:tcW w:type="dxa" w:w="4860"/>
          </w:tcPr>
          <w:p>
            <w:r>
              <w:t>Solar</w:t>
            </w:r>
          </w:p>
        </w:tc>
        <w:tc>
          <w:tcPr>
            <w:tcW w:type="dxa" w:w="4860"/>
          </w:tcPr>
          <w:p>
            <w:r>
              <w:t>18</w:t>
            </w:r>
          </w:p>
        </w:tc>
      </w:tr>
      <w:tr>
        <w:tc>
          <w:tcPr>
            <w:tcW w:type="dxa" w:w="4860"/>
          </w:tcPr>
          <w:p>
            <w:r>
              <w:t>EV fleet</w:t>
            </w:r>
          </w:p>
        </w:tc>
        <w:tc>
          <w:tcPr>
            <w:tcW w:type="dxa" w:w="4860"/>
          </w:tcPr>
          <w:p>
            <w:r>
              <w:t>65</w:t>
            </w:r>
          </w:p>
        </w:tc>
      </w:tr>
      <w:tr>
        <w:tc>
          <w:tcPr>
            <w:tcW w:type="dxa" w:w="4860"/>
          </w:tcPr>
          <w:p>
            <w:r>
              <w:t>Green material</w:t>
            </w:r>
          </w:p>
        </w:tc>
        <w:tc>
          <w:tcPr>
            <w:tcW w:type="dxa" w:w="4860"/>
          </w:tcPr>
          <w:p>
            <w:r>
              <w:t>110</w:t>
            </w:r>
          </w:p>
        </w:tc>
      </w:tr>
    </w:tbl>
    <w:p>
      <w:r>
        <w:t>Negative-cost measures can help fund strategic measures with positive abatement cost.</w:t>
      </w:r>
    </w:p>
    <w:p>
      <w:pPr>
        <w:pStyle w:val="Heading2"/>
      </w:pPr>
      <w:r>
        <w:t>Stress-Test the Variables That Matter</w:t>
      </w:r>
    </w:p>
    <w:p>
      <w:r>
        <w:rPr>
          <w:b/>
        </w:rPr>
        <w:t xml:space="preserve">Energy price: </w:t>
      </w:r>
      <w:r>
        <w:t>Low, expected and high tariff cases.</w:t>
      </w:r>
    </w:p>
    <w:p>
      <w:r>
        <w:rPr>
          <w:b/>
        </w:rPr>
        <w:t xml:space="preserve">Utilisation: </w:t>
      </w:r>
      <w:r>
        <w:t>Operating hours, throughput and occupancy.</w:t>
      </w:r>
    </w:p>
    <w:p>
      <w:r>
        <w:rPr>
          <w:b/>
        </w:rPr>
        <w:t xml:space="preserve">Performance: </w:t>
      </w:r>
      <w:r>
        <w:t>Degradation, rebound and implementation shortfall.</w:t>
      </w:r>
    </w:p>
    <w:p>
      <w:r>
        <w:rPr>
          <w:b/>
        </w:rPr>
        <w:t xml:space="preserve">Carbon value: </w:t>
      </w:r>
      <w:r>
        <w:t>Tax, internal carbon price or customer premium.</w:t>
      </w:r>
    </w:p>
    <w:p>
      <w:r>
        <w:rPr>
          <w:b/>
        </w:rPr>
        <w:t xml:space="preserve">Discount rate: </w:t>
      </w:r>
      <w:r>
        <w:t>Financing and risk assumptions.</w:t>
      </w:r>
    </w:p>
    <w:p>
      <w:pPr>
        <w:pStyle w:val="Heading2"/>
      </w:pPr>
      <w:r>
        <w:t>Two Ways to Price Carbon Internally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Shadow price</w:t>
            </w:r>
          </w:p>
        </w:tc>
        <w:tc>
          <w:tcPr>
            <w:tcW w:type="dxa" w:w="4860"/>
          </w:tcPr>
          <w:p>
            <w:r>
              <w:t>Internal fee</w:t>
            </w:r>
          </w:p>
        </w:tc>
      </w:tr>
      <w:tr>
        <w:tc>
          <w:tcPr>
            <w:tcW w:type="dxa" w:w="4860"/>
          </w:tcPr>
          <w:p>
            <w:r>
              <w:t>Apply a hypothetical carbon value in investment cases</w:t>
            </w:r>
          </w:p>
        </w:tc>
        <w:tc>
          <w:tcPr>
            <w:tcW w:type="dxa" w:w="4860"/>
          </w:tcPr>
          <w:p>
            <w:r>
              <w:t>Charge emissions and recycle funds into reductions</w:t>
            </w:r>
          </w:p>
        </w:tc>
      </w:tr>
      <w:tr>
        <w:tc>
          <w:tcPr>
            <w:tcW w:type="dxa" w:w="4860"/>
          </w:tcPr>
          <w:p>
            <w:r>
              <w:t>Changes decisions without charging business units</w:t>
            </w:r>
          </w:p>
        </w:tc>
        <w:tc>
          <w:tcPr>
            <w:tcW w:type="dxa" w:w="4860"/>
          </w:tcPr>
          <w:p>
            <w:r>
              <w:t>Creates a visible operating signal</w:t>
            </w:r>
          </w:p>
        </w:tc>
      </w:tr>
      <w:tr>
        <w:tc>
          <w:tcPr>
            <w:tcW w:type="dxa" w:w="4860"/>
          </w:tcPr>
          <w:p>
            <w:r>
              <w:t>Good for stress-testing long-lived assets</w:t>
            </w:r>
          </w:p>
        </w:tc>
        <w:tc>
          <w:tcPr>
            <w:tcW w:type="dxa" w:w="4860"/>
          </w:tcPr>
          <w:p>
            <w:r>
              <w:t>Needs governance and acceptance</w:t>
            </w:r>
          </w:p>
        </w:tc>
      </w:tr>
    </w:tbl>
    <w:p>
      <w:pPr>
        <w:pStyle w:val="Heading2"/>
      </w:pPr>
      <w:r>
        <w:t>LED Retrofit Decision</w:t>
      </w:r>
    </w:p>
    <w:p>
      <w:r>
        <w:t>Illustrative teaching data: S$120,000 capex; S$38,000 annual saving; 72 tCO₂e avoided per year; 8-year life.</w:t>
      </w:r>
    </w:p>
    <w:p>
      <w:r>
        <w:rPr>
          <w:b/>
        </w:rPr>
        <w:t>Payback = 120,000 ÷ 38,000 = 3.16 years</w:t>
        <w:br/>
        <w:t>Simple lifetime MAC = (120,000 − 8×38,000) ÷ (8×72) = −S$319/tCO₂e</w:t>
      </w:r>
    </w:p>
    <w:p>
      <w:pPr>
        <w:pStyle w:val="ListBullet"/>
      </w:pPr>
      <w:r>
        <w:t>The project saves money and carbon</w:t>
      </w:r>
    </w:p>
    <w:p>
      <w:pPr>
        <w:pStyle w:val="ListBullet"/>
      </w:pPr>
      <w:r>
        <w:t>Confirm maintenance, hours and baseline</w:t>
      </w:r>
    </w:p>
    <w:p>
      <w:pPr>
        <w:pStyle w:val="ListBullet"/>
      </w:pPr>
      <w:r>
        <w:t>Use discounted cash flow for approval</w:t>
      </w:r>
    </w:p>
    <w:p>
      <w:pPr>
        <w:pStyle w:val="Heading2"/>
      </w:pPr>
      <w:r>
        <w:t>From Standards to a Defensible Hotspot</w:t>
      </w:r>
    </w:p>
    <w:p>
      <w:r>
        <w:rPr>
          <w:b/>
        </w:rPr>
        <w:t xml:space="preserve">Frame: </w:t>
      </w:r>
      <w:r>
        <w:t>Purpose, organisational boundary, operational boundary and period.</w:t>
      </w:r>
    </w:p>
    <w:p>
      <w:r>
        <w:rPr>
          <w:b/>
        </w:rPr>
        <w:t xml:space="preserve">Quantify: </w:t>
      </w:r>
      <w:r>
        <w:t>Activity data × factor × GWP with controlled units.</w:t>
      </w:r>
    </w:p>
    <w:p>
      <w:r>
        <w:rPr>
          <w:b/>
        </w:rPr>
        <w:t xml:space="preserve">Diagnose: </w:t>
      </w:r>
      <w:r>
        <w:t>Rank magnitude, trend, risk and controllability.</w:t>
      </w:r>
    </w:p>
    <w:p>
      <w:r>
        <w:rPr>
          <w:b/>
        </w:rPr>
        <w:t xml:space="preserve">Value: </w:t>
      </w:r>
      <w:r>
        <w:t>Combine tonnes, cash, risk and strategic fit.</w:t>
      </w:r>
    </w:p>
    <w:p>
      <w:pPr>
        <w:pStyle w:val="Heading2"/>
      </w:pPr>
      <w:r>
        <w:t>Evidence Should Survive the Handover</w:t>
      </w:r>
    </w:p>
    <w:p>
      <w:r>
        <w:t>1. Source register</w:t>
      </w:r>
    </w:p>
    <w:p>
      <w:r>
        <w:t>2. Calculation workbook</w:t>
      </w:r>
    </w:p>
    <w:p>
      <w:r>
        <w:t>3. Quality checks</w:t>
      </w:r>
    </w:p>
    <w:p>
      <w:r>
        <w:t>4. Hotspot narrative</w:t>
      </w:r>
    </w:p>
    <w:p>
      <w:r>
        <w:t>5. Investment assumptions</w:t>
      </w:r>
    </w:p>
    <w:p>
      <w:pPr>
        <w:pStyle w:val="Heading2"/>
      </w:pPr>
      <w:r>
        <w:t>Precision without completeness can produce a confidently wrong hotspot.</w:t>
      </w:r>
    </w:p>
    <w:p>
      <w:r>
        <w:rPr>
          <w:b/>
          <w:sz w:val="28"/>
        </w:rPr>
        <w:t>Precision without completeness can produce a confidently wrong hotspot.</w:t>
      </w:r>
    </w:p>
    <w:p>
      <w:r>
        <w:t>Screen broadly, then improve the data where decisions are material.</w:t>
      </w:r>
    </w:p>
    <w:p>
      <w:pPr>
        <w:pStyle w:val="Heading1"/>
      </w:pPr>
      <w:r>
        <w:t>Topic 1 Activities</w:t>
      </w:r>
    </w:p>
    <w:p>
      <w:pPr>
        <w:pStyle w:val="Heading2"/>
      </w:pPr>
      <w:r>
        <w:t>Activity 1: Map a Multi-Site Corporate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Singapore retail and distribution group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GHG Protocol Corporate Standard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Define organisational and operational boundaries, classify sources and identify data gaps.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Boundary memo, scope map and data-gap register</w:t>
            </w:r>
          </w:p>
        </w:tc>
      </w:tr>
    </w:tbl>
    <w:p>
      <w:pPr>
        <w:pStyle w:val="Heading3"/>
      </w:pPr>
      <w:r>
        <w:t>Scenario</w:t>
      </w:r>
    </w:p>
    <w:p>
      <w:r>
        <w:t>Merlion Retail Group operates 12 stores, one warehouse, a leased head office and a contracted delivery fleet. It owns 80% of a Malaysian sourcing subsidiary. Management wants a 2025 baseline before setting a target.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Read the scenario and identify the intended users of the inventory.</w:t>
      </w:r>
    </w:p>
    <w:p>
      <w:r>
        <w:t>2. Draw the legal and operating structure, including leased and contracted activities.</w:t>
      </w:r>
    </w:p>
    <w:p>
      <w:r>
        <w:t>3. Choose equity share, financial control or operational control; state the rationale.</w:t>
      </w:r>
    </w:p>
    <w:p>
      <w:r>
        <w:t>4. Set the reporting period, gases and materiality rule.</w:t>
      </w:r>
    </w:p>
    <w:p>
      <w:r>
        <w:t>5. Create a source register for stores, warehouse, office, subsidiary and logistics.</w:t>
      </w:r>
    </w:p>
    <w:p>
      <w:r>
        <w:t>6. Classify sources by scope and relevant Scope 3 category.</w:t>
      </w:r>
    </w:p>
    <w:p>
      <w:r>
        <w:t>7. Rate each source on magnitude, evidence quality and controllability.</w:t>
      </w:r>
    </w:p>
    <w:p>
      <w:r>
        <w:t>8. Record exclusions, assumptions and the conditions that would trigger recalculation.</w:t>
      </w:r>
    </w:p>
    <w:p>
      <w:r>
        <w:t>9. Peer-review the boundary memo against the five GHG Protocol principles.</w:t>
      </w:r>
    </w:p>
    <w:p>
      <w:r>
        <w:t>10. Present the two highest-risk data gaps and an improvement action for each.</w:t>
      </w:r>
    </w:p>
    <w:p>
      <w:pPr>
        <w:pStyle w:val="Heading3"/>
      </w:pPr>
      <w:r>
        <w:t>Scenario questions</w:t>
      </w:r>
    </w:p>
    <w:p>
      <w:r>
        <w:t>1. Which consolidation approach should the group adopt, and why?</w:t>
      </w:r>
    </w:p>
    <w:p>
      <w:r>
        <w:t>2. Classify each source into Scope 1, 2 or 3.</w:t>
      </w:r>
    </w:p>
    <w:p>
      <w:r>
        <w:t>3. Which exclusions would be material and require disclosure?</w:t>
      </w:r>
    </w:p>
    <w:p>
      <w:r>
        <w:t>4. What evidence is needed to replace the three weakest estimates?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2: Use the SG Carbon Calculator as an Engagement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Employee carbon-literacy campaign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SG Carbon Calculator and UN ActNow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Use personal-footprint screening responsibly, then translate behavioural insights into corporate data needs.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Calculator evidence, limitations note and engagement experiment</w:t>
            </w:r>
          </w:p>
        </w:tc>
      </w:tr>
    </w:tbl>
    <w:p>
      <w:pPr>
        <w:pStyle w:val="Heading3"/>
      </w:pPr>
      <w:r>
        <w:t>Scenario</w:t>
      </w:r>
    </w:p>
    <w:p>
      <w:r>
        <w:t>A 450-person professional-services firm wants an employee campaign covering commuting, home energy, food and waste. The sustainability lead proposes using the SG Carbon Calculator and adding all results to the corporate inventory.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Open https://alfredang.github.io/sgcarboncalculator/ in a modern browser.</w:t>
      </w:r>
    </w:p>
    <w:p>
      <w:r>
        <w:t>2. Record a fictional persona; do not enter identifiable learner data.</w:t>
      </w:r>
    </w:p>
    <w:p>
      <w:r>
        <w:t>3. Complete the energy, transport, food and waste inputs.</w:t>
      </w:r>
    </w:p>
    <w:p>
      <w:r>
        <w:t>4. Capture the total and category breakdown in the provided worksheet.</w:t>
      </w:r>
    </w:p>
    <w:p>
      <w:r>
        <w:t>5. Change one material input and observe the direction and scale of change.</w:t>
      </w:r>
    </w:p>
    <w:p>
      <w:r>
        <w:t>6. Select two relevant UN ActNow actions and explain the mechanism of impact.</w:t>
      </w:r>
    </w:p>
    <w:p>
      <w:r>
        <w:t>7. Map each action to corporate Scope 1, 2 or 3 influence.</w:t>
      </w:r>
    </w:p>
    <w:p>
      <w:r>
        <w:t>8. List the calculator’s boundary, factor and verification limitations.</w:t>
      </w:r>
    </w:p>
    <w:p>
      <w:r>
        <w:t>9. Design a four-week opt-in engagement experiment with one aggregate outcome metric.</w:t>
      </w:r>
    </w:p>
    <w:p>
      <w:r>
        <w:t>10. Write a clear disclaimer separating personal screening from corporate accounting.</w:t>
      </w:r>
    </w:p>
    <w:p>
      <w:pPr>
        <w:pStyle w:val="Heading3"/>
      </w:pPr>
      <w:r>
        <w:t>Scenario questions</w:t>
      </w:r>
    </w:p>
    <w:p>
      <w:r>
        <w:t>1. What can the calculator reliably support?</w:t>
      </w:r>
    </w:p>
    <w:p>
      <w:r>
        <w:t>2. Why should personal results not be summed into a corporate inventory?</w:t>
      </w:r>
    </w:p>
    <w:p>
      <w:r>
        <w:t>3. Which actions connect to Scope 3 categories?</w:t>
      </w:r>
    </w:p>
    <w:p>
      <w:r>
        <w:t>4. How will you measure participation without collecting unnecessary personal data?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3: Find Hotspots in a Farm-to-Table Value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CP Foods-inspired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 and GHG Protocol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Calculate a screening footprint, rank hotspots and propose a data-improvement plan.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Calculated footprint, Pareto chart and hotspot recommendation</w:t>
            </w:r>
          </w:p>
        </w:tc>
      </w:tr>
    </w:tbl>
    <w:p>
      <w:pPr>
        <w:pStyle w:val="Heading3"/>
      </w:pPr>
      <w:r>
        <w:t>Scenario</w:t>
      </w:r>
    </w:p>
    <w:p>
      <w:r>
        <w:t>Orchid Foods produces chilled ready meals for Singapore retailers. Inspired by CP Foods’ farm-to-table footprint work, it wants a first screening of ingredients, factory energy, cold-chain logistics, packaging and waste. All figures are illustrative teaching data, not reported CP Foods results.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activity-data table and check every unit.</w:t>
      </w:r>
    </w:p>
    <w:p>
      <w:r>
        <w:t>2. Match each row to the supplied illustrative emission factor.</w:t>
      </w:r>
    </w:p>
    <w:p>
      <w:r>
        <w:t>3. Calculate tCO₂e for every source and retain the formula trail.</w:t>
      </w:r>
    </w:p>
    <w:p>
      <w:r>
        <w:t>4. Classify each result by scope and value-chain stage.</w:t>
      </w:r>
    </w:p>
    <w:p>
      <w:r>
        <w:t>5. Calculate total footprint and percentage contribution.</w:t>
      </w:r>
    </w:p>
    <w:p>
      <w:r>
        <w:t>6. Rank sources and draw a Pareto chart.</w:t>
      </w:r>
    </w:p>
    <w:p>
      <w:r>
        <w:t>7. Normalise the result per 1,000 meals and per S$1 million revenue.</w:t>
      </w:r>
    </w:p>
    <w:p>
      <w:r>
        <w:t>8. Rate the top five sources by data quality and controllability.</w:t>
      </w:r>
    </w:p>
    <w:p>
      <w:r>
        <w:t>9. Select two priority data improvements and assign owners.</w:t>
      </w:r>
    </w:p>
    <w:p>
      <w:r>
        <w:t>10. Present a hotspot narrative that distinguishes calculation result from management judgement.</w:t>
      </w:r>
    </w:p>
    <w:p>
      <w:pPr>
        <w:pStyle w:val="Heading3"/>
      </w:pPr>
      <w:r>
        <w:t>Scenario questions</w:t>
      </w:r>
    </w:p>
    <w:p>
      <w:r>
        <w:t>1. Which two sources dominate total tCO₂e?</w:t>
      </w:r>
    </w:p>
    <w:p>
      <w:r>
        <w:t>2. How would results change under a different functional unit?</w:t>
      </w:r>
    </w:p>
    <w:p>
      <w:r>
        <w:t>3. Where is supplier-specific data most valuable?</w:t>
      </w:r>
    </w:p>
    <w:p>
      <w:r>
        <w:t>4. Which hotspot is largest but least controllable?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Topic 2: Prioritise Reduction Initiatives</w:t>
      </w:r>
    </w:p>
    <w:p>
      <w:r>
        <w:t>Projection, technology, economics and transparent decisions</w:t>
      </w:r>
    </w:p>
    <w:p>
      <w:r>
        <w:rPr>
          <w:b/>
        </w:rPr>
        <w:t>Learning outcome: LO2</w:t>
      </w:r>
      <w:r/>
    </w:p>
    <w:p>
      <w:pPr>
        <w:pStyle w:val="Heading2"/>
      </w:pPr>
      <w:r>
        <w:t>A Baseline Is a Managed Reference Point</w:t>
      </w:r>
    </w:p>
    <w:p>
      <w:r>
        <w:rPr>
          <w:b/>
        </w:rPr>
        <w:t xml:space="preserve">Base year: </w:t>
      </w:r>
      <w:r>
        <w:t>Representative, reliable and relevant to the target.</w:t>
      </w:r>
    </w:p>
    <w:p>
      <w:r>
        <w:rPr>
          <w:b/>
        </w:rPr>
        <w:t xml:space="preserve">Structural change: </w:t>
      </w:r>
      <w:r>
        <w:t>Acquisition, divestment or outsourcing may require recalculation.</w:t>
      </w:r>
    </w:p>
    <w:p>
      <w:r>
        <w:rPr>
          <w:b/>
        </w:rPr>
        <w:t xml:space="preserve">Method change: </w:t>
      </w:r>
      <w:r>
        <w:t>Material factor or methodology changes may require restatement.</w:t>
      </w:r>
    </w:p>
    <w:p>
      <w:r>
        <w:rPr>
          <w:b/>
        </w:rPr>
        <w:t xml:space="preserve">Growth: </w:t>
      </w:r>
      <w:r>
        <w:t>Separate absolute emissions from intensity and activity growth.</w:t>
      </w:r>
    </w:p>
    <w:p>
      <w:pPr>
        <w:pStyle w:val="Heading2"/>
      </w:pPr>
      <w:r>
        <w:t>Start With the Business-as-Usual Case</w:t>
      </w:r>
    </w:p>
    <w:p>
      <w:r>
        <w:t>Make growth, efficiency and factor assumptions explicit.</w:t>
      </w:r>
    </w:p>
    <w:p>
      <w:r>
        <w:rPr>
          <w:b/>
        </w:rPr>
        <w:t>Future emissions = Future activity × Future emission factor × (1 − efficiency improvement)</w:t>
      </w:r>
    </w:p>
    <w:p>
      <w:pPr>
        <w:pStyle w:val="ListBullet"/>
      </w:pPr>
      <w:r>
        <w:t>Build the no-action case first</w:t>
      </w:r>
    </w:p>
    <w:p>
      <w:pPr>
        <w:pStyle w:val="ListBullet"/>
      </w:pPr>
      <w:r>
        <w:t>Avoid claiming reductions caused by grid decarbonisation as operational savings</w:t>
      </w:r>
    </w:p>
    <w:p>
      <w:pPr>
        <w:pStyle w:val="ListBullet"/>
      </w:pPr>
      <w:r>
        <w:t>Use compatible units and periods</w:t>
      </w:r>
    </w:p>
    <w:p>
      <w:pPr>
        <w:pStyle w:val="Heading2"/>
      </w:pPr>
      <w:r>
        <w:t>Absolute and Intensity Targets Answer Different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Absolute target</w:t>
            </w:r>
          </w:p>
        </w:tc>
        <w:tc>
          <w:tcPr>
            <w:tcW w:type="dxa" w:w="4860"/>
          </w:tcPr>
          <w:p>
            <w:r>
              <w:t>Intensity target</w:t>
            </w:r>
          </w:p>
        </w:tc>
      </w:tr>
      <w:tr>
        <w:tc>
          <w:tcPr>
            <w:tcW w:type="dxa" w:w="4860"/>
          </w:tcPr>
          <w:p>
            <w:r>
              <w:t>Total tCO₂e falls against baseline</w:t>
            </w:r>
          </w:p>
        </w:tc>
        <w:tc>
          <w:tcPr>
            <w:tcW w:type="dxa" w:w="4860"/>
          </w:tcPr>
          <w:p>
            <w:r>
              <w:t>tCO₂e per unit of output or revenue</w:t>
            </w:r>
          </w:p>
        </w:tc>
      </w:tr>
      <w:tr>
        <w:tc>
          <w:tcPr>
            <w:tcW w:type="dxa" w:w="4860"/>
          </w:tcPr>
          <w:p>
            <w:r>
              <w:t>Directly aligned to atmospheric outcome</w:t>
            </w:r>
          </w:p>
        </w:tc>
        <w:tc>
          <w:tcPr>
            <w:tcW w:type="dxa" w:w="4860"/>
          </w:tcPr>
          <w:p>
            <w:r>
              <w:t>Separates growth from efficiency</w:t>
            </w:r>
          </w:p>
        </w:tc>
      </w:tr>
      <w:tr>
        <w:tc>
          <w:tcPr>
            <w:tcW w:type="dxa" w:w="4860"/>
          </w:tcPr>
          <w:p>
            <w:r>
              <w:t>Can challenge a fast-growing business</w:t>
            </w:r>
          </w:p>
        </w:tc>
        <w:tc>
          <w:tcPr>
            <w:tcW w:type="dxa" w:w="4860"/>
          </w:tcPr>
          <w:p>
            <w:r>
              <w:t>Can improve while total emissions rise</w:t>
            </w:r>
          </w:p>
        </w:tc>
      </w:tr>
    </w:tbl>
    <w:p>
      <w:pPr>
        <w:pStyle w:val="Heading2"/>
      </w:pPr>
      <w:r>
        <w:t>Build Scenarios as Decision Stories</w:t>
      </w:r>
    </w:p>
    <w:p>
      <w:r>
        <w:t>1. Define drivers</w:t>
      </w:r>
    </w:p>
    <w:p>
      <w:r>
        <w:t>2. Choose coherent assumptions</w:t>
      </w:r>
    </w:p>
    <w:p>
      <w:r>
        <w:t>3. Model business-as-usual</w:t>
      </w:r>
    </w:p>
    <w:p>
      <w:r>
        <w:t>4. Layer reduction measures</w:t>
      </w:r>
    </w:p>
    <w:p>
      <w:r>
        <w:t>5. Compare emissions, cost and risk</w:t>
      </w:r>
    </w:p>
    <w:p>
      <w:pPr>
        <w:pStyle w:val="Heading2"/>
      </w:pPr>
      <w:r>
        <w:t>Use Ranges Where the Future Is Uncertain</w:t>
      </w:r>
    </w:p>
    <w:p>
      <w:r>
        <w:rPr>
          <w:b/>
        </w:rPr>
        <w:t xml:space="preserve">Low case: </w:t>
      </w:r>
      <w:r>
        <w:t>Slower growth, lower adoption or conservative performance.</w:t>
      </w:r>
    </w:p>
    <w:p>
      <w:r>
        <w:rPr>
          <w:b/>
        </w:rPr>
        <w:t xml:space="preserve">Expected case: </w:t>
      </w:r>
      <w:r>
        <w:t>Best current estimate with documented evidence.</w:t>
      </w:r>
    </w:p>
    <w:p>
      <w:r>
        <w:rPr>
          <w:b/>
        </w:rPr>
        <w:t xml:space="preserve">High case: </w:t>
      </w:r>
      <w:r>
        <w:t>Faster growth, price shock or implementation upside.</w:t>
      </w:r>
    </w:p>
    <w:p>
      <w:r>
        <w:rPr>
          <w:b/>
        </w:rPr>
        <w:t xml:space="preserve">Trigger: </w:t>
      </w:r>
      <w:r>
        <w:t>Define the observation that causes a plan revision.</w:t>
      </w:r>
    </w:p>
    <w:p>
      <w:pPr>
        <w:pStyle w:val="Heading2"/>
      </w:pPr>
      <w:r>
        <w:t>Illustrative 2030 Emissions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2025</w:t>
            </w:r>
          </w:p>
        </w:tc>
        <w:tc>
          <w:tcPr>
            <w:tcW w:type="dxa" w:w="4860"/>
          </w:tcPr>
          <w:p>
            <w:r>
              <w:t>100</w:t>
            </w:r>
          </w:p>
        </w:tc>
      </w:tr>
      <w:tr>
        <w:tc>
          <w:tcPr>
            <w:tcW w:type="dxa" w:w="4860"/>
          </w:tcPr>
          <w:p>
            <w:r>
              <w:t>2026</w:t>
            </w:r>
          </w:p>
        </w:tc>
        <w:tc>
          <w:tcPr>
            <w:tcW w:type="dxa" w:w="4860"/>
          </w:tcPr>
          <w:p>
            <w:r>
              <w:t>98</w:t>
            </w:r>
          </w:p>
        </w:tc>
      </w:tr>
      <w:tr>
        <w:tc>
          <w:tcPr>
            <w:tcW w:type="dxa" w:w="4860"/>
          </w:tcPr>
          <w:p>
            <w:r>
              <w:t>2027</w:t>
            </w:r>
          </w:p>
        </w:tc>
        <w:tc>
          <w:tcPr>
            <w:tcW w:type="dxa" w:w="4860"/>
          </w:tcPr>
          <w:p>
            <w:r>
              <w:t>91</w:t>
            </w:r>
          </w:p>
        </w:tc>
      </w:tr>
      <w:tr>
        <w:tc>
          <w:tcPr>
            <w:tcW w:type="dxa" w:w="4860"/>
          </w:tcPr>
          <w:p>
            <w:r>
              <w:t>2028</w:t>
            </w:r>
          </w:p>
        </w:tc>
        <w:tc>
          <w:tcPr>
            <w:tcW w:type="dxa" w:w="4860"/>
          </w:tcPr>
          <w:p>
            <w:r>
              <w:t>83</w:t>
            </w:r>
          </w:p>
        </w:tc>
      </w:tr>
      <w:tr>
        <w:tc>
          <w:tcPr>
            <w:tcW w:type="dxa" w:w="4860"/>
          </w:tcPr>
          <w:p>
            <w:r>
              <w:t>2029</w:t>
            </w:r>
          </w:p>
        </w:tc>
        <w:tc>
          <w:tcPr>
            <w:tcW w:type="dxa" w:w="4860"/>
          </w:tcPr>
          <w:p>
            <w:r>
              <w:t>74</w:t>
            </w:r>
          </w:p>
        </w:tc>
      </w:tr>
      <w:tr>
        <w:tc>
          <w:tcPr>
            <w:tcW w:type="dxa" w:w="4860"/>
          </w:tcPr>
          <w:p>
            <w:r>
              <w:t>2030</w:t>
            </w:r>
          </w:p>
        </w:tc>
        <w:tc>
          <w:tcPr>
            <w:tcW w:type="dxa" w:w="4860"/>
          </w:tcPr>
          <w:p>
            <w:r>
              <w:t>65</w:t>
            </w:r>
          </w:p>
        </w:tc>
      </w:tr>
    </w:tbl>
    <w:p>
      <w:r>
        <w:t>A target path becomes actionable only when initiatives, owners and milestones explain each step down.</w:t>
      </w:r>
    </w:p>
    <w:p>
      <w:pPr>
        <w:pStyle w:val="Heading2"/>
      </w:pPr>
      <w:r>
        <w:t>Explain Why Emissions Changed</w:t>
      </w:r>
    </w:p>
    <w:p>
      <w:r>
        <w:t>Separate operational performance from structural and market effects.</w:t>
      </w:r>
    </w:p>
    <w:p>
      <w:r>
        <w:rPr>
          <w:b/>
        </w:rPr>
        <w:t>Δ Emissions = Activity effect + Efficiency effect + Factor effect + Structural effect</w:t>
      </w:r>
    </w:p>
    <w:p>
      <w:pPr>
        <w:pStyle w:val="ListBullet"/>
      </w:pPr>
      <w:r>
        <w:t>Activity effect captures volume or growth</w:t>
      </w:r>
    </w:p>
    <w:p>
      <w:pPr>
        <w:pStyle w:val="ListBullet"/>
      </w:pPr>
      <w:r>
        <w:t>Efficiency effect captures operational improvement</w:t>
      </w:r>
    </w:p>
    <w:p>
      <w:pPr>
        <w:pStyle w:val="ListBullet"/>
      </w:pPr>
      <w:r>
        <w:t>Factor effect captures energy or supplier decarbonisation</w:t>
      </w:r>
    </w:p>
    <w:p>
      <w:pPr>
        <w:pStyle w:val="Heading2"/>
      </w:pPr>
      <w:r>
        <w:t>Avoid the Rebound Trap</w:t>
      </w:r>
    </w:p>
    <w:p>
      <w:r>
        <w:rPr>
          <w:b/>
        </w:rPr>
        <w:t xml:space="preserve">Efficiency gain: </w:t>
      </w:r>
      <w:r>
        <w:t>Less energy per service unit.</w:t>
      </w:r>
    </w:p>
    <w:p>
      <w:r>
        <w:rPr>
          <w:b/>
        </w:rPr>
        <w:t xml:space="preserve">Behaviour response: </w:t>
      </w:r>
      <w:r>
        <w:t>Lower cost can increase demand or operating hours.</w:t>
      </w:r>
    </w:p>
    <w:p>
      <w:r>
        <w:rPr>
          <w:b/>
        </w:rPr>
        <w:t xml:space="preserve">Net result: </w:t>
      </w:r>
      <w:r>
        <w:t>Gross saving minus additional consumption.</w:t>
      </w:r>
    </w:p>
    <w:p>
      <w:r>
        <w:rPr>
          <w:b/>
        </w:rPr>
        <w:t xml:space="preserve">Control: </w:t>
      </w:r>
      <w:r>
        <w:t>Track both intensity and absolute activity.</w:t>
      </w:r>
    </w:p>
    <w:p>
      <w:pPr>
        <w:pStyle w:val="Heading2"/>
      </w:pPr>
      <w:r>
        <w:t>Electrifying a Singapore Delivery Fleet</w:t>
      </w:r>
    </w:p>
    <w:p>
      <w:r>
        <w:t>Illustrative: 20 vans × 35,000 km/year; diesel van 0.25 kg CO₂e/km; EV 0.20 kWh/km; grid factor 0.402 kg CO₂/kWh.</w:t>
      </w:r>
    </w:p>
    <w:p>
      <w:r>
        <w:rPr>
          <w:b/>
        </w:rPr>
        <w:t>Diesel = 175 tCO₂e/year</w:t>
        <w:br/>
        <w:t>EV electricity = 56.3 tCO₂e/year</w:t>
        <w:br/>
        <w:t>Screening reduction = 118.7 tCO₂e/year</w:t>
      </w:r>
    </w:p>
    <w:p>
      <w:pPr>
        <w:pStyle w:val="ListBullet"/>
      </w:pPr>
      <w:r>
        <w:t>Add vehicle and battery lifecycle where material</w:t>
      </w:r>
    </w:p>
    <w:p>
      <w:pPr>
        <w:pStyle w:val="ListBullet"/>
      </w:pPr>
      <w:r>
        <w:t>Model future grid factors separately</w:t>
      </w:r>
    </w:p>
    <w:p>
      <w:pPr>
        <w:pStyle w:val="ListBullet"/>
      </w:pPr>
      <w:r>
        <w:t>Validate actual route, charging and payload data</w:t>
      </w:r>
    </w:p>
    <w:p>
      <w:pPr>
        <w:pStyle w:val="Heading2"/>
      </w:pPr>
      <w:r>
        <w:t>Reduce Before You Compensate</w:t>
      </w:r>
    </w:p>
    <w:p>
      <w:r>
        <w:rPr>
          <w:b/>
        </w:rPr>
        <w:t xml:space="preserve">Avoid: </w:t>
      </w:r>
      <w:r>
        <w:t>Remove unnecessary demand, travel, material or process.</w:t>
      </w:r>
    </w:p>
    <w:p>
      <w:r>
        <w:rPr>
          <w:b/>
        </w:rPr>
        <w:t xml:space="preserve">Reduce: </w:t>
      </w:r>
      <w:r>
        <w:t>Improve efficiency and yield.</w:t>
      </w:r>
    </w:p>
    <w:p>
      <w:r>
        <w:rPr>
          <w:b/>
        </w:rPr>
        <w:t xml:space="preserve">Substitute: </w:t>
      </w:r>
      <w:r>
        <w:t>Use lower-carbon energy, material or transport.</w:t>
      </w:r>
    </w:p>
    <w:p>
      <w:r>
        <w:rPr>
          <w:b/>
        </w:rPr>
        <w:t xml:space="preserve">Engage: </w:t>
      </w:r>
      <w:r>
        <w:t>Work with suppliers, customers and employees.</w:t>
      </w:r>
    </w:p>
    <w:p>
      <w:r>
        <w:rPr>
          <w:b/>
        </w:rPr>
        <w:t xml:space="preserve">Neutralise residuals: </w:t>
      </w:r>
      <w:r>
        <w:t>Use credible removals only after deep reductions.</w:t>
      </w:r>
    </w:p>
    <w:p>
      <w:pPr>
        <w:pStyle w:val="Heading2"/>
      </w:pPr>
      <w:r>
        <w:t>Energy Levers: Measure, Control, Replace</w:t>
      </w:r>
    </w:p>
    <w:p>
      <w:r>
        <w:rPr>
          <w:b/>
        </w:rPr>
        <w:t xml:space="preserve">Measure: </w:t>
      </w:r>
      <w:r>
        <w:t>Sub-meter material loads and normalise for production.</w:t>
      </w:r>
    </w:p>
    <w:p>
      <w:r>
        <w:rPr>
          <w:b/>
        </w:rPr>
        <w:t xml:space="preserve">Control: </w:t>
      </w:r>
      <w:r>
        <w:t>Schedules, set-points, maintenance and automation.</w:t>
      </w:r>
    </w:p>
    <w:p>
      <w:r>
        <w:rPr>
          <w:b/>
        </w:rPr>
        <w:t xml:space="preserve">Upgrade: </w:t>
      </w:r>
      <w:r>
        <w:t>Efficient motors, chillers, compressed air and heat recovery.</w:t>
      </w:r>
    </w:p>
    <w:p>
      <w:r>
        <w:rPr>
          <w:b/>
        </w:rPr>
        <w:t xml:space="preserve">Replace: </w:t>
      </w:r>
      <w:r>
        <w:t>Renewable electricity and electrified heat where feasible.</w:t>
      </w:r>
    </w:p>
    <w:p>
      <w:pPr>
        <w:pStyle w:val="Heading2"/>
      </w:pPr>
      <w:r>
        <w:t>Operational Excellence Is Carbon Management</w:t>
      </w:r>
    </w:p>
    <w:p>
      <w:r>
        <w:rPr>
          <w:b/>
        </w:rPr>
        <w:t xml:space="preserve">Yield: </w:t>
      </w:r>
      <w:r>
        <w:t>Prevent scrap and rework.</w:t>
      </w:r>
    </w:p>
    <w:p>
      <w:r>
        <w:rPr>
          <w:b/>
        </w:rPr>
        <w:t xml:space="preserve">Flow: </w:t>
      </w:r>
      <w:r>
        <w:t>Reduce waiting, idle loads and unnecessary movement.</w:t>
      </w:r>
    </w:p>
    <w:p>
      <w:r>
        <w:rPr>
          <w:b/>
        </w:rPr>
        <w:t xml:space="preserve">Maintenance: </w:t>
      </w:r>
      <w:r>
        <w:t>Keep assets at designed efficiency.</w:t>
      </w:r>
    </w:p>
    <w:p>
      <w:r>
        <w:rPr>
          <w:b/>
        </w:rPr>
        <w:t xml:space="preserve">Planning: </w:t>
      </w:r>
      <w:r>
        <w:t>Match batches, routes and capacity to demand.</w:t>
      </w:r>
    </w:p>
    <w:p>
      <w:r>
        <w:rPr>
          <w:b/>
        </w:rPr>
        <w:t xml:space="preserve">Design: </w:t>
      </w:r>
      <w:r>
        <w:t>Remove carbon before it is locked into the process.</w:t>
      </w:r>
    </w:p>
    <w:p>
      <w:pPr>
        <w:pStyle w:val="Heading2"/>
      </w:pPr>
      <w:r>
        <w:t>Supplier Engagement Needs a Data Ladder</w:t>
      </w:r>
    </w:p>
    <w:p>
      <w:r>
        <w:rPr>
          <w:b/>
        </w:rPr>
        <w:t xml:space="preserve">Screen: </w:t>
      </w:r>
      <w:r>
        <w:t>Use secondary factors to find material categories.</w:t>
      </w:r>
    </w:p>
    <w:p>
      <w:r>
        <w:rPr>
          <w:b/>
        </w:rPr>
        <w:t xml:space="preserve">Request: </w:t>
      </w:r>
      <w:r>
        <w:t>Ask material suppliers for product or process data.</w:t>
      </w:r>
    </w:p>
    <w:p>
      <w:r>
        <w:rPr>
          <w:b/>
        </w:rPr>
        <w:t xml:space="preserve">Validate: </w:t>
      </w:r>
      <w:r>
        <w:t>Check boundary, method, period and assurance.</w:t>
      </w:r>
    </w:p>
    <w:p>
      <w:r>
        <w:rPr>
          <w:b/>
        </w:rPr>
        <w:t xml:space="preserve">Collaborate: </w:t>
      </w:r>
      <w:r>
        <w:t>Co-design lower-carbon specifications and logistics.</w:t>
      </w:r>
    </w:p>
    <w:p>
      <w:r>
        <w:rPr>
          <w:b/>
        </w:rPr>
        <w:t xml:space="preserve">Contract: </w:t>
      </w:r>
      <w:r>
        <w:t>Embed evidence and performance expectations.</w:t>
      </w:r>
    </w:p>
    <w:p>
      <w:pPr>
        <w:pStyle w:val="Heading2"/>
      </w:pPr>
      <w:r>
        <w:t>Circular Design Changes the Carbon Equation</w:t>
      </w:r>
    </w:p>
    <w:p>
      <w:r>
        <w:t>1. Refuse unnecessary input</w:t>
      </w:r>
    </w:p>
    <w:p>
      <w:r>
        <w:t>2. Reduce material intensity</w:t>
      </w:r>
    </w:p>
    <w:p>
      <w:r>
        <w:t>3. Reuse components</w:t>
      </w:r>
    </w:p>
    <w:p>
      <w:r>
        <w:t>4. Repair and remanufacture</w:t>
      </w:r>
    </w:p>
    <w:p>
      <w:r>
        <w:t>5. Recycle at highest practical value</w:t>
      </w:r>
    </w:p>
    <w:p>
      <w:pPr>
        <w:pStyle w:val="Heading2"/>
      </w:pPr>
      <w:r>
        <w:t>Industry 4.0 Can Help—and Create New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Opportunity</w:t>
            </w:r>
          </w:p>
        </w:tc>
        <w:tc>
          <w:tcPr>
            <w:tcW w:type="dxa" w:w="4860"/>
          </w:tcPr>
          <w:p>
            <w:r>
              <w:t>Implementation risk</w:t>
            </w:r>
          </w:p>
        </w:tc>
      </w:tr>
      <w:tr>
        <w:tc>
          <w:tcPr>
            <w:tcW w:type="dxa" w:w="4860"/>
          </w:tcPr>
          <w:p>
            <w:r>
              <w:t>IoT enables real-time energy and process data</w:t>
            </w:r>
          </w:p>
        </w:tc>
        <w:tc>
          <w:tcPr>
            <w:tcW w:type="dxa" w:w="4860"/>
          </w:tcPr>
          <w:p>
            <w:r>
              <w:t>High integration cost and interoperability gaps</w:t>
            </w:r>
          </w:p>
        </w:tc>
      </w:tr>
      <w:tr>
        <w:tc>
          <w:tcPr>
            <w:tcW w:type="dxa" w:w="4860"/>
          </w:tcPr>
          <w:p>
            <w:r>
              <w:t>Analytics detects anomalies and predicts failures</w:t>
            </w:r>
          </w:p>
        </w:tc>
        <w:tc>
          <w:tcPr>
            <w:tcW w:type="dxa" w:w="4860"/>
          </w:tcPr>
          <w:p>
            <w:r>
              <w:t>Data security and ownership concerns</w:t>
            </w:r>
          </w:p>
        </w:tc>
      </w:tr>
      <w:tr>
        <w:tc>
          <w:tcPr>
            <w:tcW w:type="dxa" w:w="4860"/>
          </w:tcPr>
          <w:p>
            <w:r>
              <w:t>ERP connects carbon to materials, orders and suppliers</w:t>
            </w:r>
          </w:p>
        </w:tc>
        <w:tc>
          <w:tcPr>
            <w:tcW w:type="dxa" w:w="4860"/>
          </w:tcPr>
          <w:p>
            <w:r>
              <w:t>Automation can scale poor-quality data</w:t>
            </w:r>
          </w:p>
        </w:tc>
      </w:tr>
    </w:tbl>
    <w:p>
      <w:pPr>
        <w:pStyle w:val="Heading2"/>
      </w:pPr>
      <w:r>
        <w:t>What an Enterprise Footprint Platform Connects</w:t>
      </w:r>
    </w:p>
    <w:p>
      <w:r>
        <w:rPr>
          <w:b/>
        </w:rPr>
        <w:t xml:space="preserve">Transactions: </w:t>
      </w:r>
      <w:r>
        <w:t>Materials, purchase orders, production and logistics.</w:t>
      </w:r>
    </w:p>
    <w:p>
      <w:r>
        <w:rPr>
          <w:b/>
        </w:rPr>
        <w:t xml:space="preserve">Factors: </w:t>
      </w:r>
      <w:r>
        <w:t>Versioned libraries matched to geography and period.</w:t>
      </w:r>
    </w:p>
    <w:p>
      <w:r>
        <w:rPr>
          <w:b/>
        </w:rPr>
        <w:t xml:space="preserve">Flows: </w:t>
      </w:r>
      <w:r>
        <w:t>Energy and material movement across products and sites.</w:t>
      </w:r>
    </w:p>
    <w:p>
      <w:r>
        <w:rPr>
          <w:b/>
        </w:rPr>
        <w:t xml:space="preserve">Results: </w:t>
      </w:r>
      <w:r>
        <w:t>Corporate and product footprints with drill-down.</w:t>
      </w:r>
    </w:p>
    <w:p>
      <w:r>
        <w:rPr>
          <w:b/>
        </w:rPr>
        <w:t xml:space="preserve">Action: </w:t>
      </w:r>
      <w:r>
        <w:t>Hotspots integrated into operational decisions.</w:t>
      </w:r>
    </w:p>
    <w:p>
      <w:pPr>
        <w:pStyle w:val="Heading2"/>
      </w:pPr>
      <w:r>
        <w:t>Is the Technology Ready for This Site?</w:t>
      </w:r>
    </w:p>
    <w:p>
      <w:r>
        <w:t>Does the measure meet technical, operational, financial and evidence thresholds?</w:t>
      </w:r>
    </w:p>
    <w:p>
      <w:r>
        <w:rPr>
          <w:b/>
        </w:rPr>
        <w:t xml:space="preserve">If yes / fit: </w:t>
      </w:r>
      <w:r>
        <w:t>Pilot with success criteria, monitoring plan and scale-up gate.</w:t>
      </w:r>
    </w:p>
    <w:p>
      <w:r>
        <w:rPr>
          <w:b/>
        </w:rPr>
        <w:t xml:space="preserve">If no / not yet: </w:t>
      </w:r>
      <w:r>
        <w:t>Redesign, sequence a dependency, or retain in the opportunity backlog.</w:t>
      </w:r>
    </w:p>
    <w:p>
      <w:r>
        <w:t>A promising technology is not yet a feasible initiative until site constraints and implementation risk are tested.</w:t>
      </w:r>
    </w:p>
    <w:p>
      <w:pPr>
        <w:pStyle w:val="Heading2"/>
      </w:pPr>
      <w:r>
        <w:t>Design a Pilot That Can Be Judged</w:t>
      </w:r>
    </w:p>
    <w:p>
      <w:r>
        <w:rPr>
          <w:b/>
        </w:rPr>
        <w:t xml:space="preserve">Baseline: </w:t>
      </w:r>
      <w:r>
        <w:t>Comparable pre-intervention period and operating conditions.</w:t>
      </w:r>
    </w:p>
    <w:p>
      <w:r>
        <w:rPr>
          <w:b/>
        </w:rPr>
        <w:t xml:space="preserve">Intervention: </w:t>
      </w:r>
      <w:r>
        <w:t>Specific asset, control or behaviour change.</w:t>
      </w:r>
    </w:p>
    <w:p>
      <w:r>
        <w:rPr>
          <w:b/>
        </w:rPr>
        <w:t xml:space="preserve">Metric: </w:t>
      </w:r>
      <w:r>
        <w:t>Energy, output, emissions, cost and quality guardrail.</w:t>
      </w:r>
    </w:p>
    <w:p>
      <w:r>
        <w:rPr>
          <w:b/>
        </w:rPr>
        <w:t xml:space="preserve">Duration: </w:t>
      </w:r>
      <w:r>
        <w:t>Long enough to capture representative variation.</w:t>
      </w:r>
    </w:p>
    <w:p>
      <w:r>
        <w:rPr>
          <w:b/>
        </w:rPr>
        <w:t xml:space="preserve">Decision rule: </w:t>
      </w:r>
      <w:r>
        <w:t>Scale, modify or stop threshold agreed in advance.</w:t>
      </w:r>
    </w:p>
    <w:p>
      <w:pPr>
        <w:pStyle w:val="Heading2"/>
      </w:pPr>
      <w:r>
        <w:t>A Portfolio Needs More Than One Score</w:t>
      </w:r>
    </w:p>
    <w:p>
      <w:r>
        <w:rPr>
          <w:b/>
        </w:rPr>
        <w:t xml:space="preserve">Impact: </w:t>
      </w:r>
      <w:r>
        <w:t>Annual and cumulative tCO₂e.</w:t>
      </w:r>
    </w:p>
    <w:p>
      <w:r>
        <w:rPr>
          <w:b/>
        </w:rPr>
        <w:t xml:space="preserve">Economics: </w:t>
      </w:r>
      <w:r>
        <w:t>NPV, payback and abatement cost.</w:t>
      </w:r>
    </w:p>
    <w:p>
      <w:r>
        <w:rPr>
          <w:b/>
        </w:rPr>
        <w:t xml:space="preserve">Feasibility: </w:t>
      </w:r>
      <w:r>
        <w:t>Technology maturity, resources and disruption.</w:t>
      </w:r>
    </w:p>
    <w:p>
      <w:r>
        <w:rPr>
          <w:b/>
        </w:rPr>
        <w:t xml:space="preserve">Strategic fit: </w:t>
      </w:r>
      <w:r>
        <w:t>Customer, compliance and resilience value.</w:t>
      </w:r>
    </w:p>
    <w:p>
      <w:r>
        <w:rPr>
          <w:b/>
        </w:rPr>
        <w:t xml:space="preserve">Confidence: </w:t>
      </w:r>
      <w:r>
        <w:t>Data quality and dependency risk.</w:t>
      </w:r>
    </w:p>
    <w:p>
      <w:pPr>
        <w:pStyle w:val="Heading2"/>
      </w:pPr>
      <w:r>
        <w:t>A Transparent Multi-Criteria Decision Process</w:t>
      </w:r>
    </w:p>
    <w:p>
      <w:r>
        <w:t>1. Agree criteria</w:t>
      </w:r>
    </w:p>
    <w:p>
      <w:r>
        <w:t>2. Set weights</w:t>
      </w:r>
    </w:p>
    <w:p>
      <w:r>
        <w:t>3. Define scoring anchors</w:t>
      </w:r>
    </w:p>
    <w:p>
      <w:r>
        <w:t>4. Score with evidence</w:t>
      </w:r>
    </w:p>
    <w:p>
      <w:r>
        <w:t>5. Test sensitivity and approve</w:t>
      </w:r>
    </w:p>
    <w:p>
      <w:pPr>
        <w:pStyle w:val="Heading2"/>
      </w:pPr>
      <w:r>
        <w:t>Make Trade-Offs Visible</w:t>
      </w:r>
    </w:p>
    <w:p>
      <w:r>
        <w:t>Use a common scale and documented evidence.</w:t>
      </w:r>
    </w:p>
    <w:p>
      <w:r>
        <w:rPr>
          <w:b/>
        </w:rPr>
        <w:t>Weighted score = Σ (criterion score × criterion weight)</w:t>
      </w:r>
    </w:p>
    <w:p>
      <w:pPr>
        <w:pStyle w:val="ListBullet"/>
      </w:pPr>
      <w:r>
        <w:t>Weights must total 100%</w:t>
      </w:r>
    </w:p>
    <w:p>
      <w:pPr>
        <w:pStyle w:val="ListBullet"/>
      </w:pPr>
      <w:r>
        <w:t>Use behavioural anchors for 1–5 scores</w:t>
      </w:r>
    </w:p>
    <w:p>
      <w:pPr>
        <w:pStyle w:val="ListBullet"/>
      </w:pPr>
      <w:r>
        <w:t>Do not let the formula replace governance</w:t>
      </w:r>
    </w:p>
    <w:p>
      <w:pPr>
        <w:pStyle w:val="Heading2"/>
      </w:pPr>
      <w:r>
        <w:t>No-Regret Measures and Strategic Bets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No-regret</w:t>
            </w:r>
          </w:p>
        </w:tc>
        <w:tc>
          <w:tcPr>
            <w:tcW w:type="dxa" w:w="4860"/>
          </w:tcPr>
          <w:p>
            <w:r>
              <w:t>Strategic bet</w:t>
            </w:r>
          </w:p>
        </w:tc>
      </w:tr>
      <w:tr>
        <w:tc>
          <w:tcPr>
            <w:tcW w:type="dxa" w:w="4860"/>
          </w:tcPr>
          <w:p>
            <w:r>
              <w:t>Strong economics and proven technology</w:t>
            </w:r>
          </w:p>
        </w:tc>
        <w:tc>
          <w:tcPr>
            <w:tcW w:type="dxa" w:w="4860"/>
          </w:tcPr>
          <w:p>
            <w:r>
              <w:t>Higher uncertainty or capital need</w:t>
            </w:r>
          </w:p>
        </w:tc>
      </w:tr>
      <w:tr>
        <w:tc>
          <w:tcPr>
            <w:tcW w:type="dxa" w:w="4860"/>
          </w:tcPr>
          <w:p>
            <w:r>
              <w:t>Low dependency and quick implementation</w:t>
            </w:r>
          </w:p>
        </w:tc>
        <w:tc>
          <w:tcPr>
            <w:tcW w:type="dxa" w:w="4860"/>
          </w:tcPr>
          <w:p>
            <w:r>
              <w:t>Enables deep reductions or future compliance</w:t>
            </w:r>
          </w:p>
        </w:tc>
      </w:tr>
      <w:tr>
        <w:tc>
          <w:tcPr>
            <w:tcW w:type="dxa" w:w="4860"/>
          </w:tcPr>
          <w:p>
            <w:r>
              <w:t>Build momentum and fund later work</w:t>
            </w:r>
          </w:p>
        </w:tc>
        <w:tc>
          <w:tcPr>
            <w:tcW w:type="dxa" w:w="4860"/>
          </w:tcPr>
          <w:p>
            <w:r>
              <w:t>Use staged gates and learning milestones</w:t>
            </w:r>
          </w:p>
        </w:tc>
      </w:tr>
    </w:tbl>
    <w:p>
      <w:pPr>
        <w:pStyle w:val="Heading2"/>
      </w:pPr>
      <w:r>
        <w:t>What Should Start First?</w:t>
      </w:r>
    </w:p>
    <w:p>
      <w:r>
        <w:t>Is the measure high-impact, feasible now and independent of another project?</w:t>
      </w:r>
    </w:p>
    <w:p>
      <w:r>
        <w:rPr>
          <w:b/>
        </w:rPr>
        <w:t xml:space="preserve">If yes / fit: </w:t>
      </w:r>
      <w:r>
        <w:t>Place in the immediate delivery wave with a named owner and budget gate.</w:t>
      </w:r>
    </w:p>
    <w:p>
      <w:r>
        <w:rPr>
          <w:b/>
        </w:rPr>
        <w:t xml:space="preserve">If no / not yet: </w:t>
      </w:r>
      <w:r>
        <w:t>Place in enable, pilot, partner or monitor wave with a trigger date.</w:t>
      </w:r>
    </w:p>
    <w:p>
      <w:r>
        <w:t>Sequence dependencies: data platform before optimisation, charging before fleet conversion, specification before supplier tender.</w:t>
      </w:r>
    </w:p>
    <w:p>
      <w:pPr>
        <w:pStyle w:val="Heading2"/>
      </w:pPr>
      <w:r>
        <w:t>Illustrative Initiative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Category</w:t>
            </w:r>
          </w:p>
        </w:tc>
        <w:tc>
          <w:tcPr>
            <w:tcW w:type="dxa" w:w="4860"/>
          </w:tcPr>
          <w:p>
            <w:r>
              <w:t>Illustrative value</w:t>
            </w:r>
          </w:p>
        </w:tc>
      </w:tr>
      <w:tr>
        <w:tc>
          <w:tcPr>
            <w:tcW w:type="dxa" w:w="4860"/>
          </w:tcPr>
          <w:p>
            <w:r>
              <w:t>Controls</w:t>
            </w:r>
          </w:p>
        </w:tc>
        <w:tc>
          <w:tcPr>
            <w:tcW w:type="dxa" w:w="4860"/>
          </w:tcPr>
          <w:p>
            <w:r>
              <w:t>88</w:t>
            </w:r>
          </w:p>
        </w:tc>
      </w:tr>
      <w:tr>
        <w:tc>
          <w:tcPr>
            <w:tcW w:type="dxa" w:w="4860"/>
          </w:tcPr>
          <w:p>
            <w:r>
              <w:t>Solar</w:t>
            </w:r>
          </w:p>
        </w:tc>
        <w:tc>
          <w:tcPr>
            <w:tcW w:type="dxa" w:w="4860"/>
          </w:tcPr>
          <w:p>
            <w:r>
              <w:t>76</w:t>
            </w:r>
          </w:p>
        </w:tc>
      </w:tr>
      <w:tr>
        <w:tc>
          <w:tcPr>
            <w:tcW w:type="dxa" w:w="4860"/>
          </w:tcPr>
          <w:p>
            <w:r>
              <w:t>Fleet EV</w:t>
            </w:r>
          </w:p>
        </w:tc>
        <w:tc>
          <w:tcPr>
            <w:tcW w:type="dxa" w:w="4860"/>
          </w:tcPr>
          <w:p>
            <w:r>
              <w:t>69</w:t>
            </w:r>
          </w:p>
        </w:tc>
      </w:tr>
      <w:tr>
        <w:tc>
          <w:tcPr>
            <w:tcW w:type="dxa" w:w="4860"/>
          </w:tcPr>
          <w:p>
            <w:r>
              <w:t>Supplier data</w:t>
            </w:r>
          </w:p>
        </w:tc>
        <w:tc>
          <w:tcPr>
            <w:tcW w:type="dxa" w:w="4860"/>
          </w:tcPr>
          <w:p>
            <w:r>
              <w:t>64</w:t>
            </w:r>
          </w:p>
        </w:tc>
      </w:tr>
      <w:tr>
        <w:tc>
          <w:tcPr>
            <w:tcW w:type="dxa" w:w="4860"/>
          </w:tcPr>
          <w:p>
            <w:r>
              <w:t>Green steel</w:t>
            </w:r>
          </w:p>
        </w:tc>
        <w:tc>
          <w:tcPr>
            <w:tcW w:type="dxa" w:w="4860"/>
          </w:tcPr>
          <w:p>
            <w:r>
              <w:t>52</w:t>
            </w:r>
          </w:p>
        </w:tc>
      </w:tr>
    </w:tbl>
    <w:p>
      <w:r>
        <w:t>A score supports discussion; the approval record must still explain constraints, dependencies and dissent.</w:t>
      </w:r>
    </w:p>
    <w:p>
      <w:pPr>
        <w:pStyle w:val="Heading2"/>
      </w:pPr>
      <w:r>
        <w:t>Counter Common Decision Biases</w:t>
      </w:r>
    </w:p>
    <w:p>
      <w:r>
        <w:rPr>
          <w:b/>
        </w:rPr>
        <w:t xml:space="preserve">Payback bias: </w:t>
      </w:r>
      <w:r>
        <w:t>Include lifecycle value and residual risk.</w:t>
      </w:r>
    </w:p>
    <w:p>
      <w:r>
        <w:rPr>
          <w:b/>
        </w:rPr>
        <w:t xml:space="preserve">Pet-project bias: </w:t>
      </w:r>
      <w:r>
        <w:t>Require comparable evidence and scoring anchors.</w:t>
      </w:r>
    </w:p>
    <w:p>
      <w:r>
        <w:rPr>
          <w:b/>
        </w:rPr>
        <w:t xml:space="preserve">Precision bias: </w:t>
      </w:r>
      <w:r>
        <w:t>Show ranges and confidence ratings.</w:t>
      </w:r>
    </w:p>
    <w:p>
      <w:r>
        <w:rPr>
          <w:b/>
        </w:rPr>
        <w:t xml:space="preserve">Silo bias: </w:t>
      </w:r>
      <w:r>
        <w:t>Include operations, finance, procurement and users.</w:t>
      </w:r>
    </w:p>
    <w:p>
      <w:r>
        <w:rPr>
          <w:b/>
        </w:rPr>
        <w:t xml:space="preserve">Offset bias: </w:t>
      </w:r>
      <w:r>
        <w:t>Apply the reduction hierarchy first.</w:t>
      </w:r>
    </w:p>
    <w:p>
      <w:pPr>
        <w:pStyle w:val="Heading2"/>
      </w:pPr>
      <w:r>
        <w:t>Portfolio Choice Under a S$500k Cap</w:t>
      </w:r>
    </w:p>
    <w:p>
      <w:r>
        <w:t>Illustrative measures: controls S$80k/160 t; solar S$280k/210 t; EV pilot S$140k/90 t; green material S$220k/300 t.</w:t>
      </w:r>
    </w:p>
    <w:p>
      <w:r>
        <w:rPr>
          <w:b/>
        </w:rPr>
        <w:t>Possible Wave 1: controls + solar + EV pilot = S$500k and 460 tCO₂e/year screened benefit</w:t>
      </w:r>
    </w:p>
    <w:p>
      <w:pPr>
        <w:pStyle w:val="ListBullet"/>
      </w:pPr>
      <w:r>
        <w:t>Green material has high impact but needs procurement validation</w:t>
      </w:r>
    </w:p>
    <w:p>
      <w:pPr>
        <w:pStyle w:val="ListBullet"/>
      </w:pPr>
      <w:r>
        <w:t>Check double counting and dependencies</w:t>
      </w:r>
    </w:p>
    <w:p>
      <w:pPr>
        <w:pStyle w:val="ListBullet"/>
      </w:pPr>
      <w:r>
        <w:t>Retain a reserve for measurement and commissioning</w:t>
      </w:r>
    </w:p>
    <w:p>
      <w:pPr>
        <w:pStyle w:val="Heading2"/>
      </w:pPr>
      <w:r>
        <w:t>Prioritisation Is a Portfolio Conversation</w:t>
      </w:r>
    </w:p>
    <w:p>
      <w:r>
        <w:rPr>
          <w:b/>
        </w:rPr>
        <w:t xml:space="preserve">Project: </w:t>
      </w:r>
      <w:r>
        <w:t>Model baseline, intervention and uncertainty.</w:t>
      </w:r>
    </w:p>
    <w:p>
      <w:r>
        <w:rPr>
          <w:b/>
        </w:rPr>
        <w:t xml:space="preserve">Prove: </w:t>
      </w:r>
      <w:r>
        <w:t>Test technical and operating feasibility.</w:t>
      </w:r>
    </w:p>
    <w:p>
      <w:r>
        <w:rPr>
          <w:b/>
        </w:rPr>
        <w:t xml:space="preserve">Compare: </w:t>
      </w:r>
      <w:r>
        <w:t>Use carbon, cash, risk, strategy and confidence.</w:t>
      </w:r>
    </w:p>
    <w:p>
      <w:r>
        <w:rPr>
          <w:b/>
        </w:rPr>
        <w:t xml:space="preserve">Sequence: </w:t>
      </w:r>
      <w:r>
        <w:t>Balance no-regret delivery with deep-reduction enablers.</w:t>
      </w:r>
    </w:p>
    <w:p>
      <w:pPr>
        <w:pStyle w:val="Heading2"/>
      </w:pPr>
      <w:r>
        <w:t>From Long List to Funded Roadmap</w:t>
      </w:r>
    </w:p>
    <w:p>
      <w:r>
        <w:t>1. Opportunity register</w:t>
      </w:r>
    </w:p>
    <w:p>
      <w:r>
        <w:t>2. Business cases</w:t>
      </w:r>
    </w:p>
    <w:p>
      <w:r>
        <w:t>3. MCDA scoring</w:t>
      </w:r>
    </w:p>
    <w:p>
      <w:r>
        <w:t>4. Dependency map</w:t>
      </w:r>
    </w:p>
    <w:p>
      <w:r>
        <w:t>5. Approved waves</w:t>
      </w:r>
    </w:p>
    <w:p>
      <w:pPr>
        <w:pStyle w:val="Heading2"/>
      </w:pPr>
      <w:r>
        <w:t>The best portfolio is credible enough to fund and flexible enough to learn.</w:t>
      </w:r>
    </w:p>
    <w:p>
      <w:r>
        <w:rPr>
          <w:b/>
          <w:sz w:val="28"/>
        </w:rPr>
        <w:t>The best portfolio is credible enough to fund and flexible enough to learn.</w:t>
      </w:r>
    </w:p>
    <w:p>
      <w:r>
        <w:t>Use scenarios, pilots and stage gates to turn uncertainty into managed evidence.</w:t>
      </w:r>
    </w:p>
    <w:p>
      <w:pPr>
        <w:pStyle w:val="Heading1"/>
      </w:pPr>
      <w:r>
        <w:t>Topic 2 Activities</w:t>
      </w:r>
    </w:p>
    <w:p>
      <w:pPr>
        <w:pStyle w:val="Heading2"/>
      </w:pPr>
      <w:r>
        <w:t>Activity 4: Model a Singapore Fleet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LionCity Logistics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EMA grid statistics and GHG Protocol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Build business-as-usual and reduction scenarios for diesel, route optimisation and fleet electrification.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2030 scenario model, assumptions register and recommendation</w:t>
            </w:r>
          </w:p>
        </w:tc>
      </w:tr>
    </w:tbl>
    <w:p>
      <w:pPr>
        <w:pStyle w:val="Heading3"/>
      </w:pPr>
      <w:r>
        <w:t>Scenario</w:t>
      </w:r>
    </w:p>
    <w:p>
      <w:r>
        <w:t>LionCity Logistics runs 40 diesel vans in Singapore. Customer demand is expected to grow 5% per year. Management is considering route optimisation, driver coaching and replacement of 20 vans with EVs by 2028.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fleet, distance, fuel and growth assumptions.</w:t>
      </w:r>
    </w:p>
    <w:p>
      <w:r>
        <w:t>2. Calculate the 2025 diesel baseline in tCO₂e.</w:t>
      </w:r>
    </w:p>
    <w:p>
      <w:r>
        <w:t>3. Project annual vehicle-kilometres to 2030 under business-as-usual.</w:t>
      </w:r>
    </w:p>
    <w:p>
      <w:r>
        <w:t>4. Model route optimisation as an activity reduction.</w:t>
      </w:r>
    </w:p>
    <w:p>
      <w:r>
        <w:t>5. Model driver coaching as an efficiency improvement.</w:t>
      </w:r>
    </w:p>
    <w:p>
      <w:r>
        <w:t>6. Model EV electricity using 0.20 kWh/km and the stated grid-factor scenarios.</w:t>
      </w:r>
    </w:p>
    <w:p>
      <w:r>
        <w:t>7. Create low, expected and high cases for adoption and performance.</w:t>
      </w:r>
    </w:p>
    <w:p>
      <w:r>
        <w:t>8. Separate activity, efficiency, factor and structural effects.</w:t>
      </w:r>
    </w:p>
    <w:p>
      <w:r>
        <w:t>9. Run sensitivity on annual distance and grid factor.</w:t>
      </w:r>
    </w:p>
    <w:p>
      <w:r>
        <w:t>10. Recommend a phased roadmap with one decision trigger per phase.</w:t>
      </w:r>
    </w:p>
    <w:p>
      <w:pPr>
        <w:pStyle w:val="Heading3"/>
      </w:pPr>
      <w:r>
        <w:t>Scenario questions</w:t>
      </w:r>
    </w:p>
    <w:p>
      <w:r>
        <w:t>1. What is the business-as-usual 2030 footprint?</w:t>
      </w:r>
    </w:p>
    <w:p>
      <w:r>
        <w:t>2. Which reduction is operational and which depends on the electricity factor?</w:t>
      </w:r>
    </w:p>
    <w:p>
      <w:r>
        <w:t>3. What rebound or capacity risks could erase savings?</w:t>
      </w:r>
    </w:p>
    <w:p>
      <w:r>
        <w:t>4. What trigger would change the fleet plan?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5: Screen a Smart-Factory Carbon Initiative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Matsumoto Precision-inspired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 and Yurtay (2025)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Assess the technical, operational, data and financial feasibility of IoT/ERP-enabled energy optimisation.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Feasibility scorecard and pilot charter</w:t>
            </w:r>
          </w:p>
        </w:tc>
      </w:tr>
    </w:tbl>
    <w:p>
      <w:pPr>
        <w:pStyle w:val="Heading3"/>
      </w:pPr>
      <w:r>
        <w:t>Scenario</w:t>
      </w:r>
    </w:p>
    <w:p>
      <w:r>
        <w:t>Sakura Precision SG operates CNC machining, compressed air and heat-treatment equipment. Inspired by Matsumoto Precision’s public sustainability-footprint work, it is considering sub-metering, IoT sensors and ERP integration. All figures are illustrative.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Map the energy and material flows for the selected production cell.</w:t>
      </w:r>
    </w:p>
    <w:p>
      <w:r>
        <w:t>2. Identify decisions currently blocked by missing or delayed data.</w:t>
      </w:r>
    </w:p>
    <w:p>
      <w:r>
        <w:t>3. Define the minimum sensors, tags and ERP master data needed.</w:t>
      </w:r>
    </w:p>
    <w:p>
      <w:r>
        <w:t>4. Assess interoperability, cybersecurity, ownership and maintenance risks.</w:t>
      </w:r>
    </w:p>
    <w:p>
      <w:r>
        <w:t>5. Estimate baseline energy, idle load and scrap-related emissions.</w:t>
      </w:r>
    </w:p>
    <w:p>
      <w:r>
        <w:t>6. Define the intervention and control group or comparison period.</w:t>
      </w:r>
    </w:p>
    <w:p>
      <w:r>
        <w:t>7. Calculate screened savings, cost and payback range.</w:t>
      </w:r>
    </w:p>
    <w:p>
      <w:r>
        <w:t>8. Set quality, uptime and production guardrails.</w:t>
      </w:r>
    </w:p>
    <w:p>
      <w:r>
        <w:t>9. Score technical, operational, financial and evidence feasibility.</w:t>
      </w:r>
    </w:p>
    <w:p>
      <w:r>
        <w:t>10. Write a 12-week pilot charter with scale, modify and stop rules.</w:t>
      </w:r>
    </w:p>
    <w:p>
      <w:pPr>
        <w:pStyle w:val="Heading3"/>
      </w:pPr>
      <w:r>
        <w:t>Scenario questions</w:t>
      </w:r>
    </w:p>
    <w:p>
      <w:r>
        <w:t>1. Which data should be integrated first?</w:t>
      </w:r>
    </w:p>
    <w:p>
      <w:r>
        <w:t>2. What is the minimum viable pilot?</w:t>
      </w:r>
    </w:p>
    <w:p>
      <w:r>
        <w:t>3. Which risks could scale a bad result?</w:t>
      </w:r>
    </w:p>
    <w:p>
      <w:r>
        <w:t>4. What success criteria justify rollout?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6: Prioritise a Reduction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WITTE Automotive-inspired teaching case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SAP customer spotlight, CarbonChain and IMD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Combine MACC, weighted criteria, dependencies and budget constraints into a transparent portfolio.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MACC, MCDA matrix, funded roadmap and decision record</w:t>
            </w:r>
          </w:p>
        </w:tc>
      </w:tr>
    </w:tbl>
    <w:p>
      <w:pPr>
        <w:pStyle w:val="Heading3"/>
      </w:pPr>
      <w:r>
        <w:t>Scenario</w:t>
      </w:r>
    </w:p>
    <w:p>
      <w:r>
        <w:t>A Singapore automotive-components supplier has six shortlisted initiatives and S$700,000 available in Wave 1. The case is inspired by public examples of enterprise footprint management; all decision data are illustrative.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Check initiative boundaries and remove any overlapping savings.</w:t>
      </w:r>
    </w:p>
    <w:p>
      <w:r>
        <w:t>2. Calculate lifetime tonnes avoided and lifetime net cost.</w:t>
      </w:r>
    </w:p>
    <w:p>
      <w:r>
        <w:t>3. Calculate marginal abatement cost for each initiative.</w:t>
      </w:r>
    </w:p>
    <w:p>
      <w:r>
        <w:t>4. Agree weights for carbon, NPV, feasibility, strategy and confidence.</w:t>
      </w:r>
    </w:p>
    <w:p>
      <w:r>
        <w:t>5. Define 1–5 scoring anchors before scoring.</w:t>
      </w:r>
    </w:p>
    <w:p>
      <w:r>
        <w:t>6. Score each initiative using the evidence supplied.</w:t>
      </w:r>
    </w:p>
    <w:p>
      <w:r>
        <w:t>7. Run a sensitivity case that doubles the carbon-impact weight.</w:t>
      </w:r>
    </w:p>
    <w:p>
      <w:r>
        <w:t>8. Map technology, data, procurement and infrastructure dependencies.</w:t>
      </w:r>
    </w:p>
    <w:p>
      <w:r>
        <w:t>9. Select a Wave 1 portfolio within the S$700,000 cap.</w:t>
      </w:r>
    </w:p>
    <w:p>
      <w:r>
        <w:t>10. Document funded, pilot, enable and defer decisions with reasons.</w:t>
      </w:r>
    </w:p>
    <w:p>
      <w:pPr>
        <w:pStyle w:val="Heading3"/>
      </w:pPr>
      <w:r>
        <w:t>Scenario questions</w:t>
      </w:r>
    </w:p>
    <w:p>
      <w:r>
        <w:t>1. Which initiatives have negative abatement cost?</w:t>
      </w:r>
    </w:p>
    <w:p>
      <w:r>
        <w:t>2. How sensitive is the ranking to weights?</w:t>
      </w:r>
    </w:p>
    <w:p>
      <w:r>
        <w:t>3. Which dependency changes the sequence?</w:t>
      </w:r>
    </w:p>
    <w:p>
      <w:r>
        <w:t>4. Which high-impact measure should be piloted rather than rejected?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Topic 3: Develop the Reduction Plan</w:t>
      </w:r>
    </w:p>
    <w:p>
      <w:r>
        <w:t>EMS governance, action planning, Singapore requirements and review</w:t>
      </w:r>
    </w:p>
    <w:p>
      <w:r>
        <w:rPr>
          <w:b/>
        </w:rPr>
        <w:t>Learning outcome: LO3</w:t>
      </w:r>
      <w:r/>
    </w:p>
    <w:p>
      <w:pPr>
        <w:pStyle w:val="Heading2"/>
      </w:pPr>
      <w:r>
        <w:t>An EMS Turns Intent Into Repeatable Control</w:t>
      </w:r>
    </w:p>
    <w:p>
      <w:r>
        <w:rPr>
          <w:b/>
        </w:rPr>
        <w:t xml:space="preserve">Context: </w:t>
      </w:r>
      <w:r>
        <w:t>Interested parties, risks, opportunities and obligations.</w:t>
      </w:r>
    </w:p>
    <w:p>
      <w:r>
        <w:rPr>
          <w:b/>
        </w:rPr>
        <w:t xml:space="preserve">Leadership: </w:t>
      </w:r>
      <w:r>
        <w:t>Policy, accountability and resources.</w:t>
      </w:r>
    </w:p>
    <w:p>
      <w:r>
        <w:rPr>
          <w:b/>
        </w:rPr>
        <w:t xml:space="preserve">Planning: </w:t>
      </w:r>
      <w:r>
        <w:t>Aspects, objectives, targets and actions.</w:t>
      </w:r>
    </w:p>
    <w:p>
      <w:r>
        <w:rPr>
          <w:b/>
        </w:rPr>
        <w:t xml:space="preserve">Support &amp; operation: </w:t>
      </w:r>
      <w:r>
        <w:t>Competence, communication and operational controls.</w:t>
      </w:r>
    </w:p>
    <w:p>
      <w:r>
        <w:rPr>
          <w:b/>
        </w:rPr>
        <w:t xml:space="preserve">Evaluation &amp; improvement: </w:t>
      </w:r>
      <w:r>
        <w:t>Monitor, audit, review and correct.</w:t>
      </w:r>
    </w:p>
    <w:p>
      <w:pPr>
        <w:pStyle w:val="Heading2"/>
      </w:pPr>
      <w:r>
        <w:t>Carbon Management Through PDCA</w:t>
      </w:r>
    </w:p>
    <w:p>
      <w:r>
        <w:t>1. Plan boundary, baseline, risks and targets</w:t>
      </w:r>
    </w:p>
    <w:p>
      <w:r>
        <w:t>2. Do controls, projects and engagement</w:t>
      </w:r>
    </w:p>
    <w:p>
      <w:r>
        <w:t>3. Check data, KPIs, audits and variance</w:t>
      </w:r>
    </w:p>
    <w:p>
      <w:r>
        <w:t>4. Act on findings and reset priorities</w:t>
      </w:r>
    </w:p>
    <w:p>
      <w:pPr>
        <w:pStyle w:val="Heading2"/>
      </w:pPr>
      <w:r>
        <w:t>Ownership and Accountability Are Different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Process owner</w:t>
            </w:r>
          </w:p>
        </w:tc>
        <w:tc>
          <w:tcPr>
            <w:tcW w:type="dxa" w:w="4860"/>
          </w:tcPr>
          <w:p>
            <w:r>
              <w:t>Carbon / GHG manager</w:t>
            </w:r>
          </w:p>
        </w:tc>
      </w:tr>
      <w:tr>
        <w:tc>
          <w:tcPr>
            <w:tcW w:type="dxa" w:w="4860"/>
          </w:tcPr>
          <w:p>
            <w:r>
              <w:t>Controls the activity and operational data</w:t>
            </w:r>
          </w:p>
        </w:tc>
        <w:tc>
          <w:tcPr>
            <w:tcW w:type="dxa" w:w="4860"/>
          </w:tcPr>
          <w:p>
            <w:r>
              <w:t>Maintains method, inventory and controls</w:t>
            </w:r>
          </w:p>
        </w:tc>
      </w:tr>
      <w:tr>
        <w:tc>
          <w:tcPr>
            <w:tcW w:type="dxa" w:w="4860"/>
          </w:tcPr>
          <w:p>
            <w:r>
              <w:t>Implements agreed actions</w:t>
            </w:r>
          </w:p>
        </w:tc>
        <w:tc>
          <w:tcPr>
            <w:tcW w:type="dxa" w:w="4860"/>
          </w:tcPr>
          <w:p>
            <w:r>
              <w:t>Coordinates reporting and assurance</w:t>
            </w:r>
          </w:p>
        </w:tc>
      </w:tr>
      <w:tr>
        <w:tc>
          <w:tcPr>
            <w:tcW w:type="dxa" w:w="4860"/>
          </w:tcPr>
          <w:p>
            <w:r>
              <w:t>Explains performance variance</w:t>
            </w:r>
          </w:p>
        </w:tc>
        <w:tc>
          <w:tcPr>
            <w:tcW w:type="dxa" w:w="4860"/>
          </w:tcPr>
          <w:p>
            <w:r>
              <w:t>Escalates quality and compliance issues</w:t>
            </w:r>
          </w:p>
        </w:tc>
      </w:tr>
    </w:tbl>
    <w:p>
      <w:pPr>
        <w:pStyle w:val="Heading2"/>
      </w:pPr>
      <w:r>
        <w:t>Build Controls Around the Data Journey</w:t>
      </w:r>
    </w:p>
    <w:p>
      <w:r>
        <w:rPr>
          <w:b/>
        </w:rPr>
        <w:t xml:space="preserve">Capture: </w:t>
      </w:r>
      <w:r>
        <w:t>Authorised sources and complete populations.</w:t>
      </w:r>
    </w:p>
    <w:p>
      <w:r>
        <w:rPr>
          <w:b/>
        </w:rPr>
        <w:t xml:space="preserve">Transform: </w:t>
      </w:r>
      <w:r>
        <w:t>Locked factors, units and calculation rules.</w:t>
      </w:r>
    </w:p>
    <w:p>
      <w:r>
        <w:rPr>
          <w:b/>
        </w:rPr>
        <w:t xml:space="preserve">Review: </w:t>
      </w:r>
      <w:r>
        <w:t>Threshold checks and independent approval.</w:t>
      </w:r>
    </w:p>
    <w:p>
      <w:r>
        <w:rPr>
          <w:b/>
        </w:rPr>
        <w:t xml:space="preserve">Change: </w:t>
      </w:r>
      <w:r>
        <w:t>Version control and recalculation log.</w:t>
      </w:r>
    </w:p>
    <w:p>
      <w:r>
        <w:rPr>
          <w:b/>
        </w:rPr>
        <w:t xml:space="preserve">Retain: </w:t>
      </w:r>
      <w:r>
        <w:t>Evidence repository and retention period.</w:t>
      </w:r>
    </w:p>
    <w:p>
      <w:pPr>
        <w:pStyle w:val="Heading2"/>
      </w:pPr>
      <w:r>
        <w:t>The Plan Needs People Who Can Operate It</w:t>
      </w:r>
    </w:p>
    <w:p>
      <w:r>
        <w:rPr>
          <w:b/>
        </w:rPr>
        <w:t xml:space="preserve">Executives: </w:t>
      </w:r>
      <w:r>
        <w:t>Approve ambition, capital and risk appetite.</w:t>
      </w:r>
    </w:p>
    <w:p>
      <w:r>
        <w:rPr>
          <w:b/>
        </w:rPr>
        <w:t xml:space="preserve">Finance: </w:t>
      </w:r>
      <w:r>
        <w:t>Validate business cases and reporting controls.</w:t>
      </w:r>
    </w:p>
    <w:p>
      <w:r>
        <w:rPr>
          <w:b/>
        </w:rPr>
        <w:t xml:space="preserve">Operations: </w:t>
      </w:r>
      <w:r>
        <w:t>Own sources, projects and root causes.</w:t>
      </w:r>
    </w:p>
    <w:p>
      <w:r>
        <w:rPr>
          <w:b/>
        </w:rPr>
        <w:t xml:space="preserve">Procurement: </w:t>
      </w:r>
      <w:r>
        <w:t>Engage suppliers and embed specifications.</w:t>
      </w:r>
    </w:p>
    <w:p>
      <w:r>
        <w:rPr>
          <w:b/>
        </w:rPr>
        <w:t xml:space="preserve">Data / IT: </w:t>
      </w:r>
      <w:r>
        <w:t>Maintain architecture, access and quality.</w:t>
      </w:r>
    </w:p>
    <w:p>
      <w:pPr>
        <w:pStyle w:val="Heading2"/>
      </w:pPr>
      <w:r>
        <w:t>A Useful Review Drives Decisions</w:t>
      </w:r>
    </w:p>
    <w:p>
      <w:r>
        <w:t>1. Review target trajectory</w:t>
      </w:r>
    </w:p>
    <w:p>
      <w:r>
        <w:t>2. Explain material variance</w:t>
      </w:r>
    </w:p>
    <w:p>
      <w:r>
        <w:t>3. Assess project delivery</w:t>
      </w:r>
    </w:p>
    <w:p>
      <w:r>
        <w:t>4. Consider risk and obligations</w:t>
      </w:r>
    </w:p>
    <w:p>
      <w:r>
        <w:t>5. Decide resources and corrective action</w:t>
      </w:r>
    </w:p>
    <w:p>
      <w:pPr>
        <w:pStyle w:val="Heading2"/>
      </w:pPr>
      <w:r>
        <w:t>Audit the System, Not Only the Number</w:t>
      </w:r>
    </w:p>
    <w:p>
      <w:r>
        <w:rPr>
          <w:b/>
        </w:rPr>
        <w:t xml:space="preserve">Boundary: </w:t>
      </w:r>
      <w:r>
        <w:t>Is it complete and consistently applied?</w:t>
      </w:r>
    </w:p>
    <w:p>
      <w:r>
        <w:rPr>
          <w:b/>
        </w:rPr>
        <w:t xml:space="preserve">Evidence: </w:t>
      </w:r>
      <w:r>
        <w:t>Can samples be traced to source?</w:t>
      </w:r>
    </w:p>
    <w:p>
      <w:r>
        <w:rPr>
          <w:b/>
        </w:rPr>
        <w:t xml:space="preserve">Calculation: </w:t>
      </w:r>
      <w:r>
        <w:t>Are factors, units and formulas controlled?</w:t>
      </w:r>
    </w:p>
    <w:p>
      <w:r>
        <w:rPr>
          <w:b/>
        </w:rPr>
        <w:t xml:space="preserve">Action: </w:t>
      </w:r>
      <w:r>
        <w:t>Are corrective actions owned and closed?</w:t>
      </w:r>
    </w:p>
    <w:p>
      <w:r>
        <w:rPr>
          <w:b/>
        </w:rPr>
        <w:t xml:space="preserve">Communication: </w:t>
      </w:r>
      <w:r>
        <w:t>Are claims supported and balanced?</w:t>
      </w:r>
    </w:p>
    <w:p>
      <w:pPr>
        <w:pStyle w:val="Heading2"/>
      </w:pPr>
      <w:r>
        <w:t>Is the Variance a Data Error or Performance Gap?</w:t>
      </w:r>
    </w:p>
    <w:p>
      <w:r>
        <w:t>Does corrected evidence bring the KPI back within tolerance?</w:t>
      </w:r>
    </w:p>
    <w:p>
      <w:r>
        <w:rPr>
          <w:b/>
        </w:rPr>
        <w:t xml:space="preserve">If yes / fit: </w:t>
      </w:r>
      <w:r>
        <w:t>Fix the data/control issue, assess restatement and prevent recurrence.</w:t>
      </w:r>
    </w:p>
    <w:p>
      <w:r>
        <w:rPr>
          <w:b/>
        </w:rPr>
        <w:t xml:space="preserve">If no / not yet: </w:t>
      </w:r>
      <w:r>
        <w:t>Investigate operational root cause and implement a performance corrective action.</w:t>
      </w:r>
    </w:p>
    <w:p>
      <w:r>
        <w:t>Do not hide a missed target by changing the data; do not launch a project to fix a calculation error.</w:t>
      </w:r>
    </w:p>
    <w:p>
      <w:pPr>
        <w:pStyle w:val="Heading2"/>
      </w:pPr>
      <w:r>
        <w:t>A footprint becomes manageable when it has owners, controls and review rhythms.</w:t>
      </w:r>
    </w:p>
    <w:p>
      <w:r>
        <w:rPr>
          <w:b/>
          <w:sz w:val="28"/>
        </w:rPr>
        <w:t>A footprint becomes manageable when it has owners, controls and review rhythms.</w:t>
      </w:r>
    </w:p>
    <w:p>
      <w:r>
        <w:t>The inventory is an operating process—not an annual spreadsheet event.</w:t>
      </w:r>
    </w:p>
    <w:p>
      <w:pPr>
        <w:pStyle w:val="Heading2"/>
      </w:pPr>
      <w:r>
        <w:t>A Credible Reduction Plan Has Eight Parts</w:t>
      </w:r>
    </w:p>
    <w:p>
      <w:r>
        <w:rPr>
          <w:b/>
        </w:rPr>
        <w:t xml:space="preserve">1 · Boundary and baseline: </w:t>
      </w:r>
      <w:r>
        <w:t>What is covered and measured.</w:t>
      </w:r>
    </w:p>
    <w:p>
      <w:r>
        <w:rPr>
          <w:b/>
        </w:rPr>
        <w:t xml:space="preserve">2 · Hotspots: </w:t>
      </w:r>
      <w:r>
        <w:t>Where emissions concentrate and why.</w:t>
      </w:r>
    </w:p>
    <w:p>
      <w:r>
        <w:rPr>
          <w:b/>
        </w:rPr>
        <w:t xml:space="preserve">3 · Target: </w:t>
      </w:r>
      <w:r>
        <w:t>Outcome, year, scope and trajectory.</w:t>
      </w:r>
    </w:p>
    <w:p>
      <w:r>
        <w:rPr>
          <w:b/>
        </w:rPr>
        <w:t xml:space="preserve">4 · Initiatives: </w:t>
      </w:r>
      <w:r>
        <w:t>Measures, savings and dependencies.</w:t>
      </w:r>
    </w:p>
    <w:p>
      <w:r>
        <w:rPr>
          <w:b/>
        </w:rPr>
        <w:t xml:space="preserve">5 · Roadmap: </w:t>
      </w:r>
      <w:r>
        <w:t>Sequence, milestones and resources.</w:t>
      </w:r>
    </w:p>
    <w:p>
      <w:r>
        <w:rPr>
          <w:b/>
        </w:rPr>
        <w:t xml:space="preserve">6 · Governance: </w:t>
      </w:r>
      <w:r>
        <w:t>Owners and decision rights.</w:t>
      </w:r>
    </w:p>
    <w:p>
      <w:r>
        <w:rPr>
          <w:b/>
        </w:rPr>
        <w:t xml:space="preserve">7 · Measurement: </w:t>
      </w:r>
      <w:r>
        <w:t>KPIs, evidence and review.</w:t>
      </w:r>
    </w:p>
    <w:p>
      <w:r>
        <w:rPr>
          <w:b/>
        </w:rPr>
        <w:t xml:space="preserve">8 · Risk &amp; communication: </w:t>
      </w:r>
      <w:r>
        <w:t>Uncertainty, claims and escalation.</w:t>
      </w:r>
    </w:p>
    <w:p>
      <w:pPr>
        <w:pStyle w:val="Heading2"/>
      </w:pPr>
      <w:r>
        <w:t>A Target Needs Scope and Substance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Weak target</w:t>
            </w:r>
          </w:p>
        </w:tc>
        <w:tc>
          <w:tcPr>
            <w:tcW w:type="dxa" w:w="4860"/>
          </w:tcPr>
          <w:p>
            <w:r>
              <w:t>Decision-ready target</w:t>
            </w:r>
          </w:p>
        </w:tc>
      </w:tr>
      <w:tr>
        <w:tc>
          <w:tcPr>
            <w:tcW w:type="dxa" w:w="4860"/>
          </w:tcPr>
          <w:p>
            <w:r>
              <w:t>Reduce emissions significantly</w:t>
            </w:r>
          </w:p>
        </w:tc>
        <w:tc>
          <w:tcPr>
            <w:tcW w:type="dxa" w:w="4860"/>
          </w:tcPr>
          <w:p>
            <w:r>
              <w:t>35% absolute Scope 1+2 reduction by 2030 from 2025</w:t>
            </w:r>
          </w:p>
        </w:tc>
      </w:tr>
      <w:tr>
        <w:tc>
          <w:tcPr>
            <w:tcW w:type="dxa" w:w="4860"/>
          </w:tcPr>
          <w:p>
            <w:r>
              <w:t>No base year or boundary</w:t>
            </w:r>
          </w:p>
        </w:tc>
        <w:tc>
          <w:tcPr>
            <w:tcW w:type="dxa" w:w="4860"/>
          </w:tcPr>
          <w:p>
            <w:r>
              <w:t>Boundary and recalculation policy stated</w:t>
            </w:r>
          </w:p>
        </w:tc>
      </w:tr>
      <w:tr>
        <w:tc>
          <w:tcPr>
            <w:tcW w:type="dxa" w:w="4860"/>
          </w:tcPr>
          <w:p>
            <w:r>
              <w:t>No trajectory or owner</w:t>
            </w:r>
          </w:p>
        </w:tc>
        <w:tc>
          <w:tcPr>
            <w:tcW w:type="dxa" w:w="4860"/>
          </w:tcPr>
          <w:p>
            <w:r>
              <w:t>Annual trajectory and accountable executive</w:t>
            </w:r>
          </w:p>
        </w:tc>
      </w:tr>
    </w:tbl>
    <w:p>
      <w:pPr>
        <w:pStyle w:val="Heading2"/>
      </w:pPr>
      <w:r>
        <w:t>Sequence the Reduction Plan</w:t>
      </w:r>
    </w:p>
    <w:p>
      <w:r>
        <w:t>1. Stabilise data and controls</w:t>
      </w:r>
    </w:p>
    <w:p>
      <w:r>
        <w:t>2. Deliver no-regret efficiency</w:t>
      </w:r>
    </w:p>
    <w:p>
      <w:r>
        <w:t>3. Pilot strategic technology</w:t>
      </w:r>
    </w:p>
    <w:p>
      <w:r>
        <w:t>4. Transform supply and product choices</w:t>
      </w:r>
    </w:p>
    <w:p>
      <w:r>
        <w:t>5. Address residual emissions</w:t>
      </w:r>
    </w:p>
    <w:p>
      <w:pPr>
        <w:pStyle w:val="Heading2"/>
      </w:pPr>
      <w:r>
        <w:t>Connect Outcome, Driver and Delivery Metrics</w:t>
      </w:r>
    </w:p>
    <w:p>
      <w:r>
        <w:rPr>
          <w:b/>
        </w:rPr>
        <w:t xml:space="preserve">Outcome: </w:t>
      </w:r>
      <w:r>
        <w:t>Total tCO₂e and tCO₂e per functional unit.</w:t>
      </w:r>
    </w:p>
    <w:p>
      <w:r>
        <w:rPr>
          <w:b/>
        </w:rPr>
        <w:t xml:space="preserve">Driver: </w:t>
      </w:r>
      <w:r>
        <w:t>kWh/unit, fuel/km, kg material/unit, waste yield.</w:t>
      </w:r>
    </w:p>
    <w:p>
      <w:r>
        <w:rPr>
          <w:b/>
        </w:rPr>
        <w:t xml:space="preserve">Delivery: </w:t>
      </w:r>
      <w:r>
        <w:t>Project milestone, installed capacity, supplier coverage.</w:t>
      </w:r>
    </w:p>
    <w:p>
      <w:r>
        <w:rPr>
          <w:b/>
        </w:rPr>
        <w:t xml:space="preserve">Quality: </w:t>
      </w:r>
      <w:r>
        <w:t>Primary-data share, estimate share and control exceptions.</w:t>
      </w:r>
    </w:p>
    <w:p>
      <w:pPr>
        <w:pStyle w:val="Heading2"/>
      </w:pPr>
      <w:r>
        <w:t>Make Failure Modes Visible Before Launch</w:t>
      </w:r>
    </w:p>
    <w:p>
      <w:r>
        <w:rPr>
          <w:b/>
        </w:rPr>
        <w:t xml:space="preserve">Delivery: </w:t>
      </w:r>
      <w:r>
        <w:t>Delay, skills, vendor or permit.</w:t>
      </w:r>
    </w:p>
    <w:p>
      <w:r>
        <w:rPr>
          <w:b/>
        </w:rPr>
        <w:t xml:space="preserve">Performance: </w:t>
      </w:r>
      <w:r>
        <w:t>Savings lower than modelled.</w:t>
      </w:r>
    </w:p>
    <w:p>
      <w:r>
        <w:rPr>
          <w:b/>
        </w:rPr>
        <w:t xml:space="preserve">Commercial: </w:t>
      </w:r>
      <w:r>
        <w:t>Tariff, price, demand or finance.</w:t>
      </w:r>
    </w:p>
    <w:p>
      <w:r>
        <w:rPr>
          <w:b/>
        </w:rPr>
        <w:t xml:space="preserve">Data: </w:t>
      </w:r>
      <w:r>
        <w:t>Missing evidence or incompatible systems.</w:t>
      </w:r>
    </w:p>
    <w:p>
      <w:r>
        <w:rPr>
          <w:b/>
        </w:rPr>
        <w:t xml:space="preserve">Claims: </w:t>
      </w:r>
      <w:r>
        <w:t>Overstatement, double counting or unclear offsets.</w:t>
      </w:r>
    </w:p>
    <w:p>
      <w:pPr>
        <w:pStyle w:val="Heading2"/>
      </w:pPr>
      <w:r>
        <w:t>Reduction and Offset Are Not Interchangeable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Operational reduction</w:t>
            </w:r>
          </w:p>
        </w:tc>
        <w:tc>
          <w:tcPr>
            <w:tcW w:type="dxa" w:w="4860"/>
          </w:tcPr>
          <w:p>
            <w:r>
              <w:t>Offset / credit</w:t>
            </w:r>
          </w:p>
        </w:tc>
      </w:tr>
      <w:tr>
        <w:tc>
          <w:tcPr>
            <w:tcW w:type="dxa" w:w="4860"/>
          </w:tcPr>
          <w:p>
            <w:r>
              <w:t>Changes emissions within the inventory or value chain</w:t>
            </w:r>
          </w:p>
        </w:tc>
        <w:tc>
          <w:tcPr>
            <w:tcW w:type="dxa" w:w="4860"/>
          </w:tcPr>
          <w:p>
            <w:r>
              <w:t>Finances a reduction or removal outside the inventory</w:t>
            </w:r>
          </w:p>
        </w:tc>
      </w:tr>
      <w:tr>
        <w:tc>
          <w:tcPr>
            <w:tcW w:type="dxa" w:w="4860"/>
          </w:tcPr>
          <w:p>
            <w:r>
              <w:t>Traceable to a measure and baseline</w:t>
            </w:r>
          </w:p>
        </w:tc>
        <w:tc>
          <w:tcPr>
            <w:tcW w:type="dxa" w:w="4860"/>
          </w:tcPr>
          <w:p>
            <w:r>
              <w:t>Requires quality and retirement evidence</w:t>
            </w:r>
          </w:p>
        </w:tc>
      </w:tr>
      <w:tr>
        <w:tc>
          <w:tcPr>
            <w:tcW w:type="dxa" w:w="4860"/>
          </w:tcPr>
          <w:p>
            <w:r>
              <w:t>Supports the reduction trajectory</w:t>
            </w:r>
          </w:p>
        </w:tc>
        <w:tc>
          <w:tcPr>
            <w:tcW w:type="dxa" w:w="4860"/>
          </w:tcPr>
          <w:p>
            <w:r>
              <w:t>Disclose separately from gross emissions</w:t>
            </w:r>
          </w:p>
        </w:tc>
      </w:tr>
    </w:tbl>
    <w:p>
      <w:pPr>
        <w:pStyle w:val="Heading2"/>
      </w:pPr>
      <w:r>
        <w:t>A Responsible Claim Shows the Full Picture</w:t>
      </w:r>
    </w:p>
    <w:p>
      <w:r>
        <w:rPr>
          <w:b/>
        </w:rPr>
        <w:t xml:space="preserve">Boundary: </w:t>
      </w:r>
      <w:r>
        <w:t>Which entities, scopes and period?</w:t>
      </w:r>
    </w:p>
    <w:p>
      <w:r>
        <w:rPr>
          <w:b/>
        </w:rPr>
        <w:t xml:space="preserve">Metric: </w:t>
      </w:r>
      <w:r>
        <w:t>Gross, net, absolute or intensity?</w:t>
      </w:r>
    </w:p>
    <w:p>
      <w:r>
        <w:rPr>
          <w:b/>
        </w:rPr>
        <w:t xml:space="preserve">Method: </w:t>
      </w:r>
      <w:r>
        <w:t>Which standard, factors and recalculations?</w:t>
      </w:r>
    </w:p>
    <w:p>
      <w:r>
        <w:rPr>
          <w:b/>
        </w:rPr>
        <w:t xml:space="preserve">Progress: </w:t>
      </w:r>
      <w:r>
        <w:t>Actual result versus trajectory.</w:t>
      </w:r>
    </w:p>
    <w:p>
      <w:r>
        <w:rPr>
          <w:b/>
        </w:rPr>
        <w:t xml:space="preserve">Limitations: </w:t>
      </w:r>
      <w:r>
        <w:t>Estimates, uncertainty and exclusions.</w:t>
      </w:r>
    </w:p>
    <w:p>
      <w:pPr>
        <w:pStyle w:val="Heading2"/>
      </w:pPr>
      <w:r>
        <w:t>Translate a 35% Target Into Annual Milestones</w:t>
      </w:r>
    </w:p>
    <w:p>
      <w:r>
        <w:t>Illustrative 2025 baseline: 10,000 tCO₂e. 2030 target: 6,500 tCO₂e.</w:t>
      </w:r>
    </w:p>
    <w:p>
      <w:r>
        <w:rPr>
          <w:b/>
        </w:rPr>
        <w:t>Required reduction = 3,500 tCO₂e</w:t>
        <w:br/>
        <w:t>Linear planning guide = 700 tCO₂e/year average</w:t>
      </w:r>
    </w:p>
    <w:p>
      <w:pPr>
        <w:pStyle w:val="ListBullet"/>
      </w:pPr>
      <w:r>
        <w:t>Actual roadmap need not be linear</w:t>
      </w:r>
    </w:p>
    <w:p>
      <w:pPr>
        <w:pStyle w:val="ListBullet"/>
      </w:pPr>
      <w:r>
        <w:t>Link each step change to initiatives</w:t>
      </w:r>
    </w:p>
    <w:p>
      <w:pPr>
        <w:pStyle w:val="ListBullet"/>
      </w:pPr>
      <w:r>
        <w:t>Track business-as-usual growth separately</w:t>
      </w:r>
    </w:p>
    <w:p>
      <w:pPr>
        <w:pStyle w:val="Heading2"/>
      </w:pPr>
      <w:r>
        <w:t>Budget the Enablers, Not Only the Hardware</w:t>
      </w:r>
    </w:p>
    <w:p>
      <w:r>
        <w:rPr>
          <w:b/>
        </w:rPr>
        <w:t xml:space="preserve">Measurement: </w:t>
      </w:r>
      <w:r>
        <w:t>Meters, factors, assurance and data engineering.</w:t>
      </w:r>
    </w:p>
    <w:p>
      <w:r>
        <w:rPr>
          <w:b/>
        </w:rPr>
        <w:t xml:space="preserve">People: </w:t>
      </w:r>
      <w:r>
        <w:t>Project management, training and supplier engagement.</w:t>
      </w:r>
    </w:p>
    <w:p>
      <w:r>
        <w:rPr>
          <w:b/>
        </w:rPr>
        <w:t xml:space="preserve">Change: </w:t>
      </w:r>
      <w:r>
        <w:t>Communications, workflow redesign and incentives.</w:t>
      </w:r>
    </w:p>
    <w:p>
      <w:r>
        <w:rPr>
          <w:b/>
        </w:rPr>
        <w:t xml:space="preserve">Contingency: </w:t>
      </w:r>
      <w:r>
        <w:t>Performance shortfall and dependency risk.</w:t>
      </w:r>
    </w:p>
    <w:p>
      <w:r>
        <w:rPr>
          <w:b/>
        </w:rPr>
        <w:t xml:space="preserve">Maintenance: </w:t>
      </w:r>
      <w:r>
        <w:t>Commissioning and sustained optimisation.</w:t>
      </w:r>
    </w:p>
    <w:p>
      <w:pPr>
        <w:pStyle w:val="Heading2"/>
      </w:pPr>
      <w:r>
        <w:t>Every Action Needs a Complete Contract</w:t>
      </w:r>
    </w:p>
    <w:p>
      <w:r>
        <w:rPr>
          <w:b/>
        </w:rPr>
        <w:t xml:space="preserve">What: </w:t>
      </w:r>
      <w:r>
        <w:t>Specific intervention and boundary.</w:t>
      </w:r>
    </w:p>
    <w:p>
      <w:r>
        <w:rPr>
          <w:b/>
        </w:rPr>
        <w:t xml:space="preserve">Why: </w:t>
      </w:r>
      <w:r>
        <w:t>Hotspot and expected outcome.</w:t>
      </w:r>
    </w:p>
    <w:p>
      <w:r>
        <w:rPr>
          <w:b/>
        </w:rPr>
        <w:t xml:space="preserve">Who: </w:t>
      </w:r>
      <w:r>
        <w:t>Accountable owner and support roles.</w:t>
      </w:r>
    </w:p>
    <w:p>
      <w:r>
        <w:rPr>
          <w:b/>
        </w:rPr>
        <w:t xml:space="preserve">When: </w:t>
      </w:r>
      <w:r>
        <w:t>Start, milestone, completion and review.</w:t>
      </w:r>
    </w:p>
    <w:p>
      <w:r>
        <w:rPr>
          <w:b/>
        </w:rPr>
        <w:t xml:space="preserve">How much: </w:t>
      </w:r>
      <w:r>
        <w:t>Budget, resources and quantified benefit.</w:t>
      </w:r>
    </w:p>
    <w:p>
      <w:r>
        <w:rPr>
          <w:b/>
        </w:rPr>
        <w:t xml:space="preserve">Evidence: </w:t>
      </w:r>
      <w:r>
        <w:t>KPI, source and verification method.</w:t>
      </w:r>
    </w:p>
    <w:p>
      <w:pPr>
        <w:pStyle w:val="Heading2"/>
      </w:pPr>
      <w:r>
        <w:t>Make Objectives SMARTER</w:t>
      </w:r>
    </w:p>
    <w:p>
      <w:r>
        <w:t>A target should guide action and adaptation.</w:t>
      </w:r>
    </w:p>
    <w:p>
      <w:r>
        <w:rPr>
          <w:b/>
        </w:rPr>
        <w:t>Specific · Measurable · Achievable · Relevant · Time-bound · Evaluated · Reviewed</w:t>
      </w:r>
    </w:p>
    <w:p>
      <w:pPr>
        <w:pStyle w:val="ListBullet"/>
      </w:pPr>
      <w:r>
        <w:t>Use an outcome metric and at least one driver metric</w:t>
      </w:r>
    </w:p>
    <w:p>
      <w:pPr>
        <w:pStyle w:val="ListBullet"/>
      </w:pPr>
      <w:r>
        <w:t>Name the evidence source and review cadence</w:t>
      </w:r>
    </w:p>
    <w:p>
      <w:pPr>
        <w:pStyle w:val="ListBullet"/>
      </w:pPr>
      <w:r>
        <w:t>Predefine escalation and revision conditions</w:t>
      </w:r>
    </w:p>
    <w:p>
      <w:pPr>
        <w:pStyle w:val="Heading2"/>
      </w:pPr>
      <w:r>
        <w:t>Clarify Roles Before Delivery Starts</w:t>
      </w:r>
    </w:p>
    <w:p>
      <w:r>
        <w:t>1. Accountable owner approves</w:t>
      </w:r>
    </w:p>
    <w:p>
      <w:r>
        <w:t>2. Responsible team delivers</w:t>
      </w:r>
    </w:p>
    <w:p>
      <w:r>
        <w:t>3. Consulted experts shape decisions</w:t>
      </w:r>
    </w:p>
    <w:p>
      <w:r>
        <w:t>4. Informed stakeholders receive updates</w:t>
      </w:r>
    </w:p>
    <w:p>
      <w:pPr>
        <w:pStyle w:val="Heading2"/>
      </w:pPr>
      <w:r>
        <w:t>Use a Single Initiative Register</w:t>
      </w:r>
    </w:p>
    <w:p>
      <w:r>
        <w:rPr>
          <w:b/>
        </w:rPr>
        <w:t xml:space="preserve">Identity: </w:t>
      </w:r>
      <w:r>
        <w:t>Initiative ID, source, site and owner.</w:t>
      </w:r>
    </w:p>
    <w:p>
      <w:r>
        <w:rPr>
          <w:b/>
        </w:rPr>
        <w:t xml:space="preserve">Value: </w:t>
      </w:r>
      <w:r>
        <w:t>Capex, savings, tCO₂e and confidence.</w:t>
      </w:r>
    </w:p>
    <w:p>
      <w:r>
        <w:rPr>
          <w:b/>
        </w:rPr>
        <w:t xml:space="preserve">Delivery: </w:t>
      </w:r>
      <w:r>
        <w:t>Stage, milestone, dependency and issue.</w:t>
      </w:r>
    </w:p>
    <w:p>
      <w:r>
        <w:rPr>
          <w:b/>
        </w:rPr>
        <w:t xml:space="preserve">Decision: </w:t>
      </w:r>
      <w:r>
        <w:t>Approval, gate and rationale.</w:t>
      </w:r>
    </w:p>
    <w:p>
      <w:r>
        <w:rPr>
          <w:b/>
        </w:rPr>
        <w:t xml:space="preserve">Evidence: </w:t>
      </w:r>
      <w:r>
        <w:t>Baseline, M&amp;V method and realised result.</w:t>
      </w:r>
    </w:p>
    <w:p>
      <w:pPr>
        <w:pStyle w:val="Heading2"/>
      </w:pPr>
      <w:r>
        <w:t>Should the Initiative Scale?</w:t>
      </w:r>
    </w:p>
    <w:p>
      <w:r>
        <w:t>Did the pilot meet carbon, cost, operational and data-quality criteria?</w:t>
      </w:r>
    </w:p>
    <w:p>
      <w:r>
        <w:rPr>
          <w:b/>
        </w:rPr>
        <w:t xml:space="preserve">If yes / fit: </w:t>
      </w:r>
      <w:r>
        <w:t>Approve rollout with updated benefit case and implementation controls.</w:t>
      </w:r>
    </w:p>
    <w:p>
      <w:r>
        <w:rPr>
          <w:b/>
        </w:rPr>
        <w:t xml:space="preserve">If no / not yet: </w:t>
      </w:r>
      <w:r>
        <w:t>Modify or stop; document learning and update the opportunity register.</w:t>
      </w:r>
    </w:p>
    <w:p>
      <w:r>
        <w:t>Stage gates protect capital while preserving learning from uncertainty.</w:t>
      </w:r>
    </w:p>
    <w:p>
      <w:pPr>
        <w:pStyle w:val="Heading2"/>
      </w:pPr>
      <w:r>
        <w:t>Measure Realised Savings Fairly</w:t>
      </w:r>
    </w:p>
    <w:p>
      <w:r>
        <w:rPr>
          <w:b/>
        </w:rPr>
        <w:t xml:space="preserve">Baseline model: </w:t>
      </w:r>
      <w:r>
        <w:t>Representative pre-project performance.</w:t>
      </w:r>
    </w:p>
    <w:p>
      <w:r>
        <w:rPr>
          <w:b/>
        </w:rPr>
        <w:t xml:space="preserve">Adjustment: </w:t>
      </w:r>
      <w:r>
        <w:t>Production, weather, occupancy or route mix.</w:t>
      </w:r>
    </w:p>
    <w:p>
      <w:r>
        <w:rPr>
          <w:b/>
        </w:rPr>
        <w:t xml:space="preserve">Boundary: </w:t>
      </w:r>
      <w:r>
        <w:t>Avoid leakage and double counting.</w:t>
      </w:r>
    </w:p>
    <w:p>
      <w:r>
        <w:rPr>
          <w:b/>
        </w:rPr>
        <w:t xml:space="preserve">Persistence: </w:t>
      </w:r>
      <w:r>
        <w:t>Check that savings continue after launch.</w:t>
      </w:r>
    </w:p>
    <w:p>
      <w:r>
        <w:rPr>
          <w:b/>
        </w:rPr>
        <w:t xml:space="preserve">Approval: </w:t>
      </w:r>
      <w:r>
        <w:t>Independent review of material results.</w:t>
      </w:r>
    </w:p>
    <w:p>
      <w:pPr>
        <w:pStyle w:val="Heading2"/>
      </w:pPr>
      <w:r>
        <w:t>Know the Current Singapore Thresholds</w:t>
      </w:r>
    </w:p>
    <w:p>
      <w:r>
        <w:rPr>
          <w:b/>
        </w:rPr>
        <w:t xml:space="preserve">Reportable facility: </w:t>
      </w:r>
      <w:r>
        <w:t>Annual direct emissions at or above 2,000 tCO₂e.</w:t>
      </w:r>
    </w:p>
    <w:p>
      <w:r>
        <w:rPr>
          <w:b/>
        </w:rPr>
        <w:t xml:space="preserve">Taxable facility: </w:t>
      </w:r>
      <w:r>
        <w:t>Annual direct emissions at or above 25,000 tCO₂e.</w:t>
      </w:r>
    </w:p>
    <w:p>
      <w:r>
        <w:rPr>
          <w:b/>
        </w:rPr>
        <w:t xml:space="preserve">2026–2027 tax rate: </w:t>
      </w:r>
      <w:r>
        <w:t>S$45 per tCO₂e.</w:t>
      </w:r>
    </w:p>
    <w:p>
      <w:r>
        <w:rPr>
          <w:b/>
        </w:rPr>
        <w:t xml:space="preserve">Toward 2030: </w:t>
      </w:r>
      <w:r>
        <w:t>Government has indicated S$50–S$80 per tCO₂e by 2030.</w:t>
      </w:r>
    </w:p>
    <w:p>
      <w:r>
        <w:rPr>
          <w:b/>
        </w:rPr>
        <w:t xml:space="preserve">Scope: </w:t>
      </w:r>
      <w:r>
        <w:t>Industrial facilities in specified sectors; verify current CPA requirements.</w:t>
      </w:r>
    </w:p>
    <w:p>
      <w:pPr>
        <w:pStyle w:val="Heading2"/>
      </w:pPr>
      <w:r>
        <w:t>Reportable and Taxable Facilities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≥2,000 tCO₂e direct</w:t>
            </w:r>
          </w:p>
        </w:tc>
        <w:tc>
          <w:tcPr>
            <w:tcW w:type="dxa" w:w="4860"/>
          </w:tcPr>
          <w:p>
            <w:r>
              <w:t>≥25,000 tCO₂e direct</w:t>
            </w:r>
          </w:p>
        </w:tc>
      </w:tr>
      <w:tr>
        <w:tc>
          <w:tcPr>
            <w:tcW w:type="dxa" w:w="4860"/>
          </w:tcPr>
          <w:p>
            <w:r>
              <w:t>Register as reportable where applicable</w:t>
            </w:r>
          </w:p>
        </w:tc>
        <w:tc>
          <w:tcPr>
            <w:tcW w:type="dxa" w:w="4860"/>
          </w:tcPr>
          <w:p>
            <w:r>
              <w:t>Also subject to carbon tax</w:t>
            </w:r>
          </w:p>
        </w:tc>
      </w:tr>
      <w:tr>
        <w:tc>
          <w:tcPr>
            <w:tcW w:type="dxa" w:w="4860"/>
          </w:tcPr>
          <w:p>
            <w:r>
              <w:t>Submit annual Emissions Report by 30 June following year</w:t>
            </w:r>
          </w:p>
        </w:tc>
        <w:tc>
          <w:tcPr>
            <w:tcW w:type="dxa" w:w="4860"/>
          </w:tcPr>
          <w:p>
            <w:r>
              <w:t>Monitoring Plan and verified Emissions Report</w:t>
            </w:r>
          </w:p>
        </w:tc>
      </w:tr>
      <w:tr>
        <w:tc>
          <w:tcPr>
            <w:tcW w:type="dxa" w:w="4860"/>
          </w:tcPr>
          <w:p>
            <w:r>
              <w:t>Appoint required representatives and manager</w:t>
            </w:r>
          </w:p>
        </w:tc>
        <w:tc>
          <w:tcPr>
            <w:tcW w:type="dxa" w:w="4860"/>
          </w:tcPr>
          <w:p>
            <w:r>
              <w:t>Stronger controls and verification requirements</w:t>
            </w:r>
          </w:p>
        </w:tc>
      </w:tr>
    </w:tbl>
    <w:p>
      <w:pPr>
        <w:pStyle w:val="Heading2"/>
      </w:pPr>
      <w:r>
        <w:t>Screen the 2026 Carbon-Tax Exposure</w:t>
      </w:r>
    </w:p>
    <w:p>
      <w:r>
        <w:t>Illustrative taxable emissions: 30,000 tCO₂e. 2026 rate: S$45/tCO₂e.</w:t>
      </w:r>
    </w:p>
    <w:p>
      <w:r>
        <w:rPr>
          <w:b/>
        </w:rPr>
        <w:t>Gross screened liability = 30,000 × S$45 = S$1,350,000</w:t>
      </w:r>
    </w:p>
    <w:p>
      <w:pPr>
        <w:pStyle w:val="ListBullet"/>
      </w:pPr>
      <w:r>
        <w:t>Use verified reportable emissions and current law for filing</w:t>
      </w:r>
    </w:p>
    <w:p>
      <w:pPr>
        <w:pStyle w:val="ListBullet"/>
      </w:pPr>
      <w:r>
        <w:t>Account for eligible allowances only with competent advice</w:t>
      </w:r>
    </w:p>
    <w:p>
      <w:pPr>
        <w:pStyle w:val="ListBullet"/>
      </w:pPr>
      <w:r>
        <w:t>Use the result to stress-test investments—not as the inventory boundary</w:t>
      </w:r>
    </w:p>
    <w:p>
      <w:pPr>
        <w:pStyle w:val="Heading2"/>
      </w:pPr>
      <w:r>
        <w:t>A Plan Is a Managed System</w:t>
      </w:r>
    </w:p>
    <w:p>
      <w:r>
        <w:rPr>
          <w:b/>
        </w:rPr>
        <w:t xml:space="preserve">Govern: </w:t>
      </w:r>
      <w:r>
        <w:t>Owners, controls, competence and management review.</w:t>
      </w:r>
    </w:p>
    <w:p>
      <w:r>
        <w:rPr>
          <w:b/>
        </w:rPr>
        <w:t xml:space="preserve">Plan: </w:t>
      </w:r>
      <w:r>
        <w:t>Boundary, target, initiatives, roadmap and resources.</w:t>
      </w:r>
    </w:p>
    <w:p>
      <w:r>
        <w:rPr>
          <w:b/>
        </w:rPr>
        <w:t xml:space="preserve">Deliver: </w:t>
      </w:r>
      <w:r>
        <w:t>Action contracts, stage gates and dependencies.</w:t>
      </w:r>
    </w:p>
    <w:p>
      <w:r>
        <w:rPr>
          <w:b/>
        </w:rPr>
        <w:t xml:space="preserve">Learn: </w:t>
      </w:r>
      <w:r>
        <w:t>Measurement, audit, corrective action and transparent claims.</w:t>
      </w:r>
    </w:p>
    <w:p>
      <w:pPr>
        <w:pStyle w:val="Heading2"/>
      </w:pPr>
      <w:r>
        <w:t>From Target to Continual Improvement</w:t>
      </w:r>
    </w:p>
    <w:p>
      <w:r>
        <w:t>1. Approve target</w:t>
      </w:r>
    </w:p>
    <w:p>
      <w:r>
        <w:t>2. Fund roadmap</w:t>
      </w:r>
    </w:p>
    <w:p>
      <w:r>
        <w:t>3. Deliver actions</w:t>
      </w:r>
    </w:p>
    <w:p>
      <w:r>
        <w:t>4. Verify outcomes</w:t>
      </w:r>
    </w:p>
    <w:p>
      <w:r>
        <w:t>5. Review and adapt</w:t>
      </w:r>
    </w:p>
    <w:p>
      <w:pPr>
        <w:pStyle w:val="Heading2"/>
      </w:pPr>
      <w:r>
        <w:t>The reduction plan is credible when someone can execute it, finance it and verify it.</w:t>
      </w:r>
    </w:p>
    <w:p>
      <w:r>
        <w:rPr>
          <w:b/>
          <w:sz w:val="28"/>
        </w:rPr>
        <w:t>The reduction plan is credible when someone can execute it, finance it and verify it.</w:t>
      </w:r>
    </w:p>
    <w:p>
      <w:r>
        <w:t>Targets become performance only through governance and evidence.</w:t>
      </w:r>
    </w:p>
    <w:p>
      <w:pPr>
        <w:pStyle w:val="Heading1"/>
      </w:pPr>
      <w:r>
        <w:t>Topic 3 Activities</w:t>
      </w:r>
    </w:p>
    <w:p>
      <w:pPr>
        <w:pStyle w:val="Heading2"/>
      </w:pPr>
      <w:r>
        <w:t>Activity 7: Prepare a Singapore MR and Carbon-Tax Readiness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Jurong specialty-chemicals facility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NEA Carbon Tax and MR requirements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Screen regulatory status, data controls, reporting obligations and carbon-price exposure.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Obligations matrix, control plan and screened tax exposure</w:t>
            </w:r>
          </w:p>
        </w:tc>
      </w:tr>
    </w:tbl>
    <w:p>
      <w:pPr>
        <w:pStyle w:val="Heading3"/>
      </w:pPr>
      <w:r>
        <w:t>Scenario</w:t>
      </w:r>
    </w:p>
    <w:p>
      <w:r>
        <w:t>HarbourChem’s Jurong facility estimates 30,000 tCO₂e of annual direct emissions from natural gas, process emissions and refrigerants. Management needs a readiness review for the 2026 reporting year. This is an illustrative learning case, not legal advice.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Read the current NEA carbon-tax and MR pages supplied in the Sources file.</w:t>
      </w:r>
    </w:p>
    <w:p>
      <w:r>
        <w:t>2. Confirm the reporting year and the current threshold and rate used in the case.</w:t>
      </w:r>
    </w:p>
    <w:p>
      <w:r>
        <w:t>3. Create a complete direct-emission source register.</w:t>
      </w:r>
    </w:p>
    <w:p>
      <w:r>
        <w:t>4. Map each source to activity data, factor, method and evidence owner.</w:t>
      </w:r>
    </w:p>
    <w:p>
      <w:r>
        <w:t>5. Screen annual tCO₂e and compare it with 2,000 and 25,000 tCO₂e thresholds.</w:t>
      </w:r>
    </w:p>
    <w:p>
      <w:r>
        <w:t>6. Calculate gross carbon-tax exposure at the stated rate.</w:t>
      </w:r>
    </w:p>
    <w:p>
      <w:r>
        <w:t>7. Draft a RACI for Designated Representative, GHG Manager, operations, finance and verifier.</w:t>
      </w:r>
    </w:p>
    <w:p>
      <w:r>
        <w:t>8. Design capture, calculation, review, change-control and retention controls.</w:t>
      </w:r>
    </w:p>
    <w:p>
      <w:r>
        <w:t>9. Build a calendar for monitoring-plan, verification and annual-report readiness.</w:t>
      </w:r>
    </w:p>
    <w:p>
      <w:r>
        <w:t>10. Record legal and technical questions requiring current professional confirmation.</w:t>
      </w:r>
    </w:p>
    <w:p>
      <w:pPr>
        <w:pStyle w:val="Heading3"/>
      </w:pPr>
      <w:r>
        <w:t>Scenario questions</w:t>
      </w:r>
    </w:p>
    <w:p>
      <w:r>
        <w:t>1. Why is the facility both reportable and taxable?</w:t>
      </w:r>
    </w:p>
    <w:p>
      <w:r>
        <w:t>2. Which sources belong in direct emissions?</w:t>
      </w:r>
    </w:p>
    <w:p>
      <w:r>
        <w:t>3. What evidence and roles are required?</w:t>
      </w:r>
    </w:p>
    <w:p>
      <w:r>
        <w:t>4. How should the S$45/t price influence—not dictate—the roadmap?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8: Design an Employee ActNow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Singapore professional-services firm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United Nations ActNow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Convert selected personal actions into a privacy-respecting corporate engagement programme with measurable outcomes.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Programme canvas, measurement plan and communication copy</w:t>
            </w:r>
          </w:p>
        </w:tc>
      </w:tr>
    </w:tbl>
    <w:p>
      <w:pPr>
        <w:pStyle w:val="Heading3"/>
      </w:pPr>
      <w:r>
        <w:t>Scenario</w:t>
      </w:r>
    </w:p>
    <w:p>
      <w:r>
        <w:t>Marina Advisory has 450 employees and material Scope 3 emissions from commuting, business travel, purchased goods and food at events. Leaders want an eight-week ActNow campaign without overstating carbon savings.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Review the firm’s screening footprint and identify controllable behaviour-linked sources.</w:t>
      </w:r>
    </w:p>
    <w:p>
      <w:r>
        <w:t>2. Select three UN ActNow actions that connect to those sources.</w:t>
      </w:r>
    </w:p>
    <w:p>
      <w:r>
        <w:t>3. Define one behaviour, one enabling policy and one barrier for each action.</w:t>
      </w:r>
    </w:p>
    <w:p>
      <w:r>
        <w:t>4. Use the SG Carbon Calculator only for optional learning and directional reflection.</w:t>
      </w:r>
    </w:p>
    <w:p>
      <w:r>
        <w:t>5. Define aggregate participation and operational outcome metrics.</w:t>
      </w:r>
    </w:p>
    <w:p>
      <w:r>
        <w:t>6. Set a baseline using booking, travel, catering or waste data—not personal claims alone.</w:t>
      </w:r>
    </w:p>
    <w:p>
      <w:r>
        <w:t>7. Design an eight-week cadence of prompt, enablement, feedback and recognition.</w:t>
      </w:r>
    </w:p>
    <w:p>
      <w:r>
        <w:t>8. Write a privacy notice and a no-shaming participation principle.</w:t>
      </w:r>
    </w:p>
    <w:p>
      <w:r>
        <w:t>9. Create a method to avoid double counting with formal reduction projects.</w:t>
      </w:r>
    </w:p>
    <w:p>
      <w:r>
        <w:t>10. Draft a balanced results message showing actions, evidence and limitations.</w:t>
      </w:r>
    </w:p>
    <w:p>
      <w:pPr>
        <w:pStyle w:val="Heading3"/>
      </w:pPr>
      <w:r>
        <w:t>Scenario questions</w:t>
      </w:r>
    </w:p>
    <w:p>
      <w:r>
        <w:t>1. Which UN actions fit the firm’s footprint?</w:t>
      </w:r>
    </w:p>
    <w:p>
      <w:r>
        <w:t>2. Which outcomes can be measured credibly?</w:t>
      </w:r>
    </w:p>
    <w:p>
      <w:r>
        <w:t>3. How will privacy and voluntary participation be protected?</w:t>
      </w:r>
    </w:p>
    <w:p>
      <w:r>
        <w:t>4. How will you prevent double counting with travel-policy savings?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pPr>
        <w:pStyle w:val="Heading2"/>
      </w:pPr>
      <w:r>
        <w:t>Activity 9: Build the Board-Ready Carbon Reduction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</w:tcPr>
          <w:p>
            <w:r>
              <w:t>Real-use-case lens</w:t>
            </w:r>
          </w:p>
        </w:tc>
        <w:tc>
          <w:tcPr>
            <w:tcW w:type="dxa" w:w="4860"/>
          </w:tcPr>
          <w:p>
            <w:r>
              <w:t>Lion City Precision Pte Ltd</w:t>
            </w:r>
          </w:p>
        </w:tc>
      </w:tr>
      <w:tr>
        <w:tc>
          <w:tcPr>
            <w:tcW w:type="dxa" w:w="4860"/>
          </w:tcPr>
          <w:p>
            <w:r>
              <w:t>Source lens</w:t>
            </w:r>
          </w:p>
        </w:tc>
        <w:tc>
          <w:tcPr>
            <w:tcW w:type="dxa" w:w="4860"/>
          </w:tcPr>
          <w:p>
            <w:r>
              <w:t>Integrated course case using GHG Protocol, ISO/EMS and Singapore context</w:t>
            </w:r>
          </w:p>
        </w:tc>
      </w:tr>
      <w:tr>
        <w:tc>
          <w:tcPr>
            <w:tcW w:type="dxa" w:w="4860"/>
          </w:tcPr>
          <w:p>
            <w:r>
              <w:t>Objective</w:t>
            </w:r>
          </w:p>
        </w:tc>
        <w:tc>
          <w:tcPr>
            <w:tcW w:type="dxa" w:w="4860"/>
          </w:tcPr>
          <w:p>
            <w:r>
              <w:t>Integrate hotspot analysis, prioritisation, governance and action planning into a defensible 2030 plan.</w:t>
            </w:r>
          </w:p>
        </w:tc>
      </w:tr>
      <w:tr>
        <w:tc>
          <w:tcPr>
            <w:tcW w:type="dxa" w:w="4860"/>
          </w:tcPr>
          <w:p>
            <w:r>
              <w:t>Deliverable</w:t>
            </w:r>
          </w:p>
        </w:tc>
        <w:tc>
          <w:tcPr>
            <w:tcW w:type="dxa" w:w="4860"/>
          </w:tcPr>
          <w:p>
            <w:r>
              <w:t>Ten-slide board pack plus action register and management-review dashboard</w:t>
            </w:r>
          </w:p>
        </w:tc>
      </w:tr>
    </w:tbl>
    <w:p>
      <w:pPr>
        <w:pStyle w:val="Heading3"/>
      </w:pPr>
      <w:r>
        <w:t>Scenario</w:t>
      </w:r>
    </w:p>
    <w:p>
      <w:r>
        <w:t>Lion City Precision manufactures components in Singapore. Its 2025 screening footprint is 10,000 tCO₂e: purchased aluminium 42%, electricity 28%, natural gas 12%, freight 9%, waste 5% and other 4%. The board is considering a 35% absolute reduction by 2030 while production grows 4% annually.</w:t>
      </w:r>
    </w:p>
    <w:p>
      <w:r>
        <w:rPr>
          <w:b/>
        </w:rPr>
        <w:t xml:space="preserve">Evidence note: </w:t>
      </w:r>
      <w:r>
        <w:t>Company-linked facts are used only as a public case lens. Unless explicitly identified as reported, all activity figures are illustrative teaching data.</w:t>
      </w:r>
    </w:p>
    <w:p>
      <w:pPr>
        <w:pStyle w:val="Heading3"/>
      </w:pPr>
      <w:r>
        <w:t>Detailed procedure</w:t>
      </w:r>
    </w:p>
    <w:p>
      <w:r>
        <w:t>1. State the organisational and operational boundary and the 2025 baseline limitations.</w:t>
      </w:r>
    </w:p>
    <w:p>
      <w:r>
        <w:t>2. Calculate source contributions and identify the top hotspots.</w:t>
      </w:r>
    </w:p>
    <w:p>
      <w:r>
        <w:t>3. Build a 2030 business-as-usual scenario with 4% annual production growth.</w:t>
      </w:r>
    </w:p>
    <w:p>
      <w:r>
        <w:t>4. Define a precise 2030 absolute target and interim milestones.</w:t>
      </w:r>
    </w:p>
    <w:p>
      <w:r>
        <w:t>5. Evaluate the initiative long list using carbon, cash, feasibility, strategy and confidence.</w:t>
      </w:r>
    </w:p>
    <w:p>
      <w:r>
        <w:t>6. Select and sequence a portfolio, checking dependencies and double counting.</w:t>
      </w:r>
    </w:p>
    <w:p>
      <w:r>
        <w:t>7. Create an initiative register with owner, budget, milestone, KPI and M&amp;V method.</w:t>
      </w:r>
    </w:p>
    <w:p>
      <w:r>
        <w:t>8. Design governance using executive accountability, process owners and a carbon manager.</w:t>
      </w:r>
    </w:p>
    <w:p>
      <w:r>
        <w:t>9. Create quarterly outcome, driver, delivery and data-quality KPIs.</w:t>
      </w:r>
    </w:p>
    <w:p>
      <w:r>
        <w:t>10. Present the plan, defend its assumptions and record peer-review changes.</w:t>
      </w:r>
    </w:p>
    <w:p>
      <w:pPr>
        <w:pStyle w:val="Heading3"/>
      </w:pPr>
      <w:r>
        <w:t>Scenario questions</w:t>
      </w:r>
    </w:p>
    <w:p>
      <w:r>
        <w:t>1. What is the business-as-usual 2030 footprint?</w:t>
      </w:r>
    </w:p>
    <w:p>
      <w:r>
        <w:t>2. Which portfolio can credibly deliver the target?</w:t>
      </w:r>
    </w:p>
    <w:p>
      <w:r>
        <w:t>3. What governance and data controls are essential?</w:t>
      </w:r>
    </w:p>
    <w:p>
      <w:r>
        <w:t>4. What should management review quarterly?</w:t>
      </w:r>
    </w:p>
    <w:p>
      <w:pPr>
        <w:pStyle w:val="Heading3"/>
      </w:pPr>
      <w:r>
        <w:t>Evidence and reflection</w:t>
      </w:r>
    </w:p>
    <w:p>
      <w:pPr>
        <w:pStyle w:val="ListBullet"/>
      </w:pPr>
      <w:r>
        <w:t>State the boundary, period, unit, factor and source.</w:t>
      </w:r>
    </w:p>
    <w:p>
      <w:pPr>
        <w:pStyle w:val="ListBullet"/>
      </w:pPr>
      <w:r>
        <w:t>Show calculations and retain intermediate values.</w:t>
      </w:r>
    </w:p>
    <w:p>
      <w:pPr>
        <w:pStyle w:val="ListBullet"/>
      </w:pPr>
      <w:r>
        <w:t>Separate evidence, assumption and judgement.</w:t>
      </w:r>
    </w:p>
    <w:p>
      <w:pPr>
        <w:pStyle w:val="ListBullet"/>
      </w:pPr>
      <w:r>
        <w:t>Record uncertainty and the evidence that would change the decision.</w:t>
      </w:r>
    </w:p>
    <w:p>
      <w:pPr>
        <w:pStyle w:val="ListBullet"/>
      </w:pPr>
      <w:r>
        <w:t>Submit the specified deliverable and a concise management recommendation.</w:t>
      </w:r>
    </w:p>
    <w:p>
      <w:r>
        <w:br w:type="page"/>
      </w:r>
    </w:p>
    <w:p>
      <w:pPr>
        <w:pStyle w:val="Heading1"/>
      </w:pPr>
      <w:r>
        <w:t>Source Register</w:t>
      </w:r>
    </w:p>
    <w:p>
      <w:r>
        <w:rPr>
          <w:b/>
        </w:rPr>
        <w:t xml:space="preserve">GHG Protocol Corporate Standard: </w:t>
      </w:r>
      <w:r>
        <w:t>https://ghgprotocol.org/corporate-standard</w:t>
      </w:r>
    </w:p>
    <w:p>
      <w:r>
        <w:rPr>
          <w:b/>
        </w:rPr>
        <w:t xml:space="preserve">United Nations ActNow — Ten Actions: </w:t>
      </w:r>
      <w:r>
        <w:t>https://www.un.org/en/actnow/ten-actions</w:t>
      </w:r>
    </w:p>
    <w:p>
      <w:r>
        <w:rPr>
          <w:b/>
        </w:rPr>
        <w:t xml:space="preserve">NEA — Singapore Carbon Tax: </w:t>
      </w:r>
      <w:r>
        <w:t>https://www.nea.gov.sg/our-services/climate-change-energy-efficiency/climate-change/carbon-tax</w:t>
      </w:r>
    </w:p>
    <w:p>
      <w:r>
        <w:rPr>
          <w:b/>
        </w:rPr>
        <w:t xml:space="preserve">NEA — Measurement and Reporting Requirements: </w:t>
      </w:r>
      <w:r>
        <w:t>https://www.nea.gov.sg/our-services/climate-change-energy-efficiency/climate-change/carbon-tax/measurement-and-reporting-requirements-for-greenhouse-gas-emissions</w:t>
      </w:r>
    </w:p>
    <w:p>
      <w:r>
        <w:rPr>
          <w:b/>
        </w:rPr>
        <w:t xml:space="preserve">EMA — Singapore Energy Statistics, Chapter 2: </w:t>
      </w:r>
      <w:r>
        <w:t>https://www.ema.gov.sg/resources/singapore-energy-statistics/chapter2</w:t>
      </w:r>
    </w:p>
    <w:p>
      <w:r>
        <w:rPr>
          <w:b/>
        </w:rPr>
        <w:t xml:space="preserve">SAP Sustainability Footprint Management: </w:t>
      </w:r>
      <w:r>
        <w:t>https://www.sap.com/sea/products/scm/sustainability-footprint-management.html</w:t>
      </w:r>
    </w:p>
    <w:p>
      <w:r>
        <w:rPr>
          <w:b/>
        </w:rPr>
        <w:t xml:space="preserve">IMD — Carbon Management: </w:t>
      </w:r>
      <w:r>
        <w:t>https://www.imd.org/blog/sustainability/carbon-management/</w:t>
      </w:r>
    </w:p>
    <w:p>
      <w:r>
        <w:rPr>
          <w:b/>
        </w:rPr>
        <w:t xml:space="preserve">Yurtay (2025), Industry 4.0 and ERP Systems: </w:t>
      </w:r>
      <w:r>
        <w:t>https://www.mdpi.com/2076-3417/15/1/480</w:t>
      </w:r>
    </w:p>
    <w:p>
      <w:r>
        <w:rPr>
          <w:b/>
        </w:rPr>
        <w:t xml:space="preserve">Synesgy — Carbon Footprint Guide: </w:t>
      </w:r>
      <w:r>
        <w:t>https://www.synesgy.com/en/esg-guide/carbon-footprint/</w:t>
      </w:r>
    </w:p>
    <w:p>
      <w:r>
        <w:rPr>
          <w:b/>
        </w:rPr>
        <w:t xml:space="preserve">Green Earth — Carbon Footprints: </w:t>
      </w:r>
      <w:r>
        <w:t>https://www.green.earth/carbonfootprints</w:t>
      </w:r>
    </w:p>
    <w:p>
      <w:r>
        <w:rPr>
          <w:b/>
        </w:rPr>
        <w:t xml:space="preserve">CarbonChain — Reducing Company Footprints: </w:t>
      </w:r>
      <w:r>
        <w:t>https://www.carbonchain.com/carbon-accounting/how-can-companies-reduce-carbon-footprint</w:t>
      </w:r>
    </w:p>
    <w:p>
      <w:r>
        <w:rPr>
          <w:b/>
        </w:rPr>
        <w:t xml:space="preserve">SG Carbon Calculator: </w:t>
      </w:r>
      <w:r>
        <w:t>https://github.com/alfredang/sgcarboncalculator</w:t>
      </w:r>
    </w:p>
    <w:p>
      <w:pPr>
        <w:pStyle w:val="Heading2"/>
      </w:pPr>
      <w:r>
        <w:t>Important Use Note</w:t>
      </w:r>
    </w:p>
    <w:p>
      <w:r>
        <w:t>Regulatory rates, thresholds, factors and reporting requirements can change. Verify current primary-source requirements before making external claims, filing reports or committing capital.</w:t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1909" w:h="16834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LG-Sustainability Masterclass (C752)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