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Sustainability Masterclass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C752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v1.0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0"/>
        <w:gridCol w:w="2430"/>
        <w:gridCol w:w="2430"/>
        <w:gridCol w:w="2430"/>
      </w:tblGrid>
      <w:tr>
        <w:tc>
          <w:tcPr>
            <w:tcW w:type="dxa" w:w="243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43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43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43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430"/>
          </w:tcPr>
          <w:p>
            <w:r/>
            <w:r>
              <w:rPr>
                <w:sz w:val="19"/>
              </w:rPr>
              <w:t>v1.0</w:t>
            </w:r>
          </w:p>
        </w:tc>
        <w:tc>
          <w:tcPr>
            <w:tcW w:type="dxa" w:w="2430"/>
          </w:tcPr>
          <w:p>
            <w:r/>
            <w:r>
              <w:rPr>
                <w:sz w:val="19"/>
              </w:rPr>
              <w:t>1 October 2026</w:t>
            </w:r>
          </w:p>
        </w:tc>
        <w:tc>
          <w:tcPr>
            <w:tcW w:type="dxa" w:w="2430"/>
          </w:tcPr>
          <w:p>
            <w:r/>
            <w:r>
              <w:rPr>
                <w:sz w:val="19"/>
              </w:rPr>
              <w:t>Initial release of the Sustainability Masterclass lesson plan: two-day schedule (9:30am–5:30pm, 15 instructional hours) mapped to the v1.0 124-slide deck</w:t>
            </w:r>
          </w:p>
        </w:tc>
        <w:tc>
          <w:tcPr>
            <w:tcW w:type="dxa" w:w="243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Delivery Overview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Day 1: Measure What Matters — Boundary, Scopes and Hotspots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Day 2: Move From Insight to Action — Priorities, Plans and Governance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Resources</w:t>
        <w:tab/>
        <w:t>7</w:t>
      </w:r>
    </w:p>
    <w:p>
      <w:r>
        <w:br w:type="page"/>
      </w:r>
    </w:p>
    <w:p>
      <w:pPr>
        <w:pStyle w:val="Heading1"/>
      </w:pPr>
      <w:r>
        <w:t>Course Delivery Overview</w:t>
      </w:r>
    </w:p>
    <w:p>
      <w:r>
        <w:t>Two days of 7.5 instructional hours each (15 hours in total), 9:30am – 5:30pm with a single 30-minute lunch. Break durations are not counted as training time.</w:t>
      </w:r>
    </w:p>
    <w:p>
      <w:pPr>
        <w:pStyle w:val="Heading2"/>
      </w:pPr>
      <w:r>
        <w:t>Facilitation Principles</w:t>
      </w:r>
    </w:p>
    <w:p>
      <w:pPr>
        <w:pStyle w:val="ListBullet"/>
      </w:pPr>
      <w:r>
        <w:t>Use the slides for visual explanation and the Learner Guide for procedures.</w:t>
      </w:r>
    </w:p>
    <w:p>
      <w:pPr>
        <w:pStyle w:val="ListBullet"/>
      </w:pPr>
      <w:r>
        <w:t>Keep company-linked figures clearly labelled as illustrative unless a source explicitly reports them.</w:t>
      </w:r>
    </w:p>
    <w:p>
      <w:pPr>
        <w:pStyle w:val="ListBullet"/>
      </w:pPr>
      <w:r>
        <w:t>Require evidence, units, assumptions and limitations in every activity output.</w:t>
      </w:r>
    </w:p>
    <w:p>
      <w:pPr>
        <w:pStyle w:val="ListBullet"/>
      </w:pPr>
      <w:r>
        <w:t>Use peer review before trainer synthesis.</w:t>
      </w:r>
    </w:p>
    <w:p>
      <w:r>
        <w:br w:type="page"/>
      </w:r>
    </w:p>
    <w:p>
      <w:pPr>
        <w:pStyle w:val="Heading1"/>
      </w:pPr>
      <w:r>
        <w:t>Day 1: Measure What Matters — Boundary, Scopes and Hotspots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0"/>
        <w:gridCol w:w="1620"/>
        <w:gridCol w:w="1620"/>
        <w:gridCol w:w="1620"/>
        <w:gridCol w:w="1620"/>
        <w:gridCol w:w="1620"/>
      </w:tblGrid>
      <w:tr>
        <w:tc>
          <w:tcPr>
            <w:tcW w:type="dxa" w:w="1620"/>
          </w:tcPr>
          <w:p>
            <w:r>
              <w:t>Time</w:t>
            </w:r>
          </w:p>
        </w:tc>
        <w:tc>
          <w:tcPr>
            <w:tcW w:type="dxa" w:w="1620"/>
          </w:tcPr>
          <w:p>
            <w:r>
              <w:t>Duration</w:t>
            </w:r>
          </w:p>
        </w:tc>
        <w:tc>
          <w:tcPr>
            <w:tcW w:type="dxa" w:w="1620"/>
          </w:tcPr>
          <w:p>
            <w:r>
              <w:t>Learning segment</w:t>
            </w:r>
          </w:p>
        </w:tc>
        <w:tc>
          <w:tcPr>
            <w:tcW w:type="dxa" w:w="1620"/>
          </w:tcPr>
          <w:p>
            <w:r>
              <w:t>Slides</w:t>
            </w:r>
          </w:p>
        </w:tc>
        <w:tc>
          <w:tcPr>
            <w:tcW w:type="dxa" w:w="1620"/>
          </w:tcPr>
          <w:p>
            <w:r>
              <w:t>Method and trainer actions</w:t>
            </w:r>
          </w:p>
        </w:tc>
        <w:tc>
          <w:tcPr>
            <w:tcW w:type="dxa" w:w="1620"/>
          </w:tcPr>
          <w:p>
            <w:r>
              <w:t>Learner evidence</w:t>
            </w:r>
          </w:p>
        </w:tc>
      </w:tr>
      <w:tr>
        <w:tc>
          <w:tcPr>
            <w:tcW w:type="dxa" w:w="1620"/>
            <w:vAlign w:val="top"/>
          </w:tcPr>
          <w:p>
            <w:r>
              <w:t>09:30–10:10</w:t>
            </w:r>
          </w:p>
        </w:tc>
        <w:tc>
          <w:tcPr>
            <w:tcW w:type="dxa" w:w="1620"/>
            <w:vAlign w:val="top"/>
          </w:tcPr>
          <w:p>
            <w:r>
              <w:t>0:40</w:t>
            </w:r>
          </w:p>
        </w:tc>
        <w:tc>
          <w:tcPr>
            <w:tcW w:type="dxa" w:w="1620"/>
            <w:vAlign w:val="top"/>
          </w:tcPr>
          <w:p>
            <w:r>
              <w:t>Administration, introductions and outcomes</w:t>
            </w:r>
          </w:p>
        </w:tc>
        <w:tc>
          <w:tcPr>
            <w:tcW w:type="dxa" w:w="1620"/>
            <w:vAlign w:val="top"/>
          </w:tcPr>
          <w:p>
            <w:r>
              <w:t>1–11</w:t>
            </w:r>
          </w:p>
        </w:tc>
        <w:tc>
          <w:tcPr>
            <w:tcW w:type="dxa" w:w="1620"/>
            <w:vAlign w:val="top"/>
          </w:tcPr>
          <w:p>
            <w:r>
              <w:t>Briefing, introductions and carbon-management decision cycle</w:t>
            </w:r>
          </w:p>
        </w:tc>
        <w:tc>
          <w:tcPr>
            <w:tcW w:type="dxa" w:w="1620"/>
            <w:vAlign w:val="top"/>
          </w:tcPr>
          <w:p>
            <w:r>
              <w:t>Expectations and prior-experience map</w:t>
            </w:r>
          </w:p>
        </w:tc>
      </w:tr>
      <w:tr>
        <w:tc>
          <w:tcPr>
            <w:tcW w:type="dxa" w:w="1620"/>
            <w:vAlign w:val="top"/>
          </w:tcPr>
          <w:p>
            <w:r>
              <w:t>10:10–11:05</w:t>
            </w:r>
          </w:p>
        </w:tc>
        <w:tc>
          <w:tcPr>
            <w:tcW w:type="dxa" w:w="1620"/>
            <w:vAlign w:val="top"/>
          </w:tcPr>
          <w:p>
            <w:r>
              <w:t>0:55</w:t>
            </w:r>
          </w:p>
        </w:tc>
        <w:tc>
          <w:tcPr>
            <w:tcW w:type="dxa" w:w="1620"/>
            <w:vAlign w:val="top"/>
          </w:tcPr>
          <w:p>
            <w:r>
              <w:t>Standards and inventory framing</w:t>
            </w:r>
          </w:p>
        </w:tc>
        <w:tc>
          <w:tcPr>
            <w:tcW w:type="dxa" w:w="1620"/>
            <w:vAlign w:val="top"/>
          </w:tcPr>
          <w:p>
            <w:r>
              <w:t>13–21</w:t>
            </w:r>
          </w:p>
        </w:tc>
        <w:tc>
          <w:tcPr>
            <w:tcW w:type="dxa" w:w="1620"/>
            <w:vAlign w:val="top"/>
          </w:tcPr>
          <w:p>
            <w:r>
              <w:t>Visual explanation, boundary checks and worked calculation</w:t>
            </w:r>
          </w:p>
        </w:tc>
        <w:tc>
          <w:tcPr>
            <w:tcW w:type="dxa" w:w="1620"/>
            <w:vAlign w:val="top"/>
          </w:tcPr>
          <w:p>
            <w:r>
              <w:t>Boundary and principle responses</w:t>
            </w:r>
          </w:p>
        </w:tc>
      </w:tr>
      <w:tr>
        <w:tc>
          <w:tcPr>
            <w:tcW w:type="dxa" w:w="1620"/>
            <w:vAlign w:val="top"/>
          </w:tcPr>
          <w:p>
            <w:r>
              <w:t>11:05–12:30</w:t>
            </w:r>
          </w:p>
        </w:tc>
        <w:tc>
          <w:tcPr>
            <w:tcW w:type="dxa" w:w="1620"/>
            <w:vAlign w:val="top"/>
          </w:tcPr>
          <w:p>
            <w:r>
              <w:t>1:25</w:t>
            </w:r>
          </w:p>
        </w:tc>
        <w:tc>
          <w:tcPr>
            <w:tcW w:type="dxa" w:w="1620"/>
            <w:vAlign w:val="top"/>
          </w:tcPr>
          <w:p>
            <w:r>
              <w:t>Scopes, data and hotspot diagnosis</w:t>
            </w:r>
          </w:p>
        </w:tc>
        <w:tc>
          <w:tcPr>
            <w:tcW w:type="dxa" w:w="1620"/>
            <w:vAlign w:val="top"/>
          </w:tcPr>
          <w:p>
            <w:r>
              <w:t>22–30</w:t>
            </w:r>
          </w:p>
        </w:tc>
        <w:tc>
          <w:tcPr>
            <w:tcW w:type="dxa" w:w="1620"/>
            <w:vAlign w:val="top"/>
          </w:tcPr>
          <w:p>
            <w:r>
              <w:t>Scope classification, Pareto reading and calculator-fit decision</w:t>
            </w:r>
          </w:p>
        </w:tc>
        <w:tc>
          <w:tcPr>
            <w:tcW w:type="dxa" w:w="1620"/>
            <w:vAlign w:val="top"/>
          </w:tcPr>
          <w:p>
            <w:r>
              <w:t>Scope map and hotspot interpretation</w:t>
            </w:r>
          </w:p>
        </w:tc>
      </w:tr>
      <w:tr>
        <w:tc>
          <w:tcPr>
            <w:tcW w:type="dxa" w:w="1620"/>
            <w:vAlign w:val="top"/>
          </w:tcPr>
          <w:p>
            <w:r>
              <w:t>12:30–13:00</w:t>
            </w:r>
          </w:p>
        </w:tc>
        <w:tc>
          <w:tcPr>
            <w:tcW w:type="dxa" w:w="1620"/>
            <w:vAlign w:val="top"/>
          </w:tcPr>
          <w:p>
            <w:r>
              <w:t>—</w:t>
            </w:r>
          </w:p>
        </w:tc>
        <w:tc>
          <w:tcPr>
            <w:tcW w:type="dxa" w:w="1620"/>
            <w:vAlign w:val="top"/>
          </w:tcPr>
          <w:p>
            <w:r>
              <w:t>Lunch</w:t>
            </w:r>
          </w:p>
        </w:tc>
        <w:tc>
          <w:tcPr>
            <w:tcW w:type="dxa" w:w="1620"/>
            <w:vAlign w:val="top"/>
          </w:tcPr>
          <w:p>
            <w:r>
              <w:t>—</w:t>
            </w:r>
          </w:p>
        </w:tc>
        <w:tc>
          <w:tcPr>
            <w:tcW w:type="dxa" w:w="1620"/>
            <w:vAlign w:val="top"/>
          </w:tcPr>
          <w:p>
            <w:r>
              <w:t>Not counted as training time</w:t>
            </w:r>
          </w:p>
        </w:tc>
        <w:tc>
          <w:tcPr>
            <w:tcW w:type="dxa" w:w="1620"/>
            <w:vAlign w:val="top"/>
          </w:tcPr>
          <w:p>
            <w:r>
              <w:t>—</w:t>
            </w:r>
          </w:p>
        </w:tc>
      </w:tr>
      <w:tr>
        <w:tc>
          <w:tcPr>
            <w:tcW w:type="dxa" w:w="1620"/>
            <w:vAlign w:val="top"/>
          </w:tcPr>
          <w:p>
            <w:r>
              <w:t>13:00–13:55</w:t>
            </w:r>
          </w:p>
        </w:tc>
        <w:tc>
          <w:tcPr>
            <w:tcW w:type="dxa" w:w="1620"/>
            <w:vAlign w:val="top"/>
          </w:tcPr>
          <w:p>
            <w:r>
              <w:t>0:55</w:t>
            </w:r>
          </w:p>
        </w:tc>
        <w:tc>
          <w:tcPr>
            <w:tcW w:type="dxa" w:w="1620"/>
            <w:vAlign w:val="top"/>
          </w:tcPr>
          <w:p>
            <w:r>
              <w:t>Economics and investment tools</w:t>
            </w:r>
          </w:p>
        </w:tc>
        <w:tc>
          <w:tcPr>
            <w:tcW w:type="dxa" w:w="1620"/>
            <w:vAlign w:val="top"/>
          </w:tcPr>
          <w:p>
            <w:r>
              <w:t>31–39</w:t>
            </w:r>
          </w:p>
        </w:tc>
        <w:tc>
          <w:tcPr>
            <w:tcW w:type="dxa" w:w="1620"/>
            <w:vAlign w:val="top"/>
          </w:tcPr>
          <w:p>
            <w:r>
              <w:t>Payback, NPV, MAC and sensitivity examples</w:t>
            </w:r>
          </w:p>
        </w:tc>
        <w:tc>
          <w:tcPr>
            <w:tcW w:type="dxa" w:w="1620"/>
            <w:vAlign w:val="top"/>
          </w:tcPr>
          <w:p>
            <w:r>
              <w:t>Calculation trail and economic caveats</w:t>
            </w:r>
          </w:p>
        </w:tc>
      </w:tr>
      <w:tr>
        <w:tc>
          <w:tcPr>
            <w:tcW w:type="dxa" w:w="1620"/>
            <w:vAlign w:val="top"/>
          </w:tcPr>
          <w:p>
            <w:r>
              <w:t>13:55–16:35</w:t>
            </w:r>
          </w:p>
        </w:tc>
        <w:tc>
          <w:tcPr>
            <w:tcW w:type="dxa" w:w="1620"/>
            <w:vAlign w:val="top"/>
          </w:tcPr>
          <w:p>
            <w:r>
              <w:t>2:40</w:t>
            </w:r>
          </w:p>
        </w:tc>
        <w:tc>
          <w:tcPr>
            <w:tcW w:type="dxa" w:w="1620"/>
            <w:vAlign w:val="top"/>
          </w:tcPr>
          <w:p>
            <w:r>
              <w:t>Activities 1–3</w:t>
            </w:r>
          </w:p>
        </w:tc>
        <w:tc>
          <w:tcPr>
            <w:tcW w:type="dxa" w:w="1620"/>
            <w:vAlign w:val="top"/>
          </w:tcPr>
          <w:p>
            <w:r>
              <w:t>42–45</w:t>
            </w:r>
          </w:p>
        </w:tc>
        <w:tc>
          <w:tcPr>
            <w:tcW w:type="dxa" w:w="1620"/>
            <w:vAlign w:val="top"/>
          </w:tcPr>
          <w:p>
            <w:r>
              <w:t>Team analysis, tool demonstration, calculation and presentations</w:t>
            </w:r>
          </w:p>
        </w:tc>
        <w:tc>
          <w:tcPr>
            <w:tcW w:type="dxa" w:w="1620"/>
            <w:vAlign w:val="top"/>
          </w:tcPr>
          <w:p>
            <w:r>
              <w:t>Boundary memo, engagement experiment and hotspot recommendation</w:t>
            </w:r>
          </w:p>
        </w:tc>
      </w:tr>
      <w:tr>
        <w:tc>
          <w:tcPr>
            <w:tcW w:type="dxa" w:w="1620"/>
            <w:vAlign w:val="top"/>
          </w:tcPr>
          <w:p>
            <w:r>
              <w:t>16:35–17:30</w:t>
            </w:r>
          </w:p>
        </w:tc>
        <w:tc>
          <w:tcPr>
            <w:tcW w:type="dxa" w:w="1620"/>
            <w:vAlign w:val="top"/>
          </w:tcPr>
          <w:p>
            <w:r>
              <w:t>0:55</w:t>
            </w:r>
          </w:p>
        </w:tc>
        <w:tc>
          <w:tcPr>
            <w:tcW w:type="dxa" w:w="1620"/>
            <w:vAlign w:val="top"/>
          </w:tcPr>
          <w:p>
            <w:r>
              <w:t>Topic synthesis and formative check</w:t>
            </w:r>
          </w:p>
        </w:tc>
        <w:tc>
          <w:tcPr>
            <w:tcW w:type="dxa" w:w="1620"/>
            <w:vAlign w:val="top"/>
          </w:tcPr>
          <w:p>
            <w:r>
              <w:t>39–41</w:t>
            </w:r>
          </w:p>
        </w:tc>
        <w:tc>
          <w:tcPr>
            <w:tcW w:type="dxa" w:w="1620"/>
            <w:vAlign w:val="top"/>
          </w:tcPr>
          <w:p>
            <w:r>
              <w:t>Peer critique, trainer synthesis and individual exit response</w:t>
            </w:r>
          </w:p>
        </w:tc>
        <w:tc>
          <w:tcPr>
            <w:tcW w:type="dxa" w:w="1620"/>
            <w:vAlign w:val="top"/>
          </w:tcPr>
          <w:p>
            <w:r>
              <w:t>Corrected decision trail and exit ticket</w:t>
            </w:r>
          </w:p>
        </w:tc>
      </w:tr>
    </w:tbl>
    <w:p>
      <w:r>
        <w:br w:type="page"/>
      </w:r>
    </w:p>
    <w:p>
      <w:pPr>
        <w:pStyle w:val="Heading1"/>
      </w:pPr>
      <w:r>
        <w:t>Day 2: Move From Insight to Action — Priorities, Plans and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0"/>
        <w:gridCol w:w="1620"/>
        <w:gridCol w:w="1620"/>
        <w:gridCol w:w="1620"/>
        <w:gridCol w:w="1620"/>
        <w:gridCol w:w="1620"/>
      </w:tblGrid>
      <w:tr>
        <w:tc>
          <w:tcPr>
            <w:tcW w:type="dxa" w:w="1620"/>
          </w:tcPr>
          <w:p>
            <w:r>
              <w:t>Time</w:t>
            </w:r>
          </w:p>
        </w:tc>
        <w:tc>
          <w:tcPr>
            <w:tcW w:type="dxa" w:w="1620"/>
          </w:tcPr>
          <w:p>
            <w:r>
              <w:t>Duration</w:t>
            </w:r>
          </w:p>
        </w:tc>
        <w:tc>
          <w:tcPr>
            <w:tcW w:type="dxa" w:w="1620"/>
          </w:tcPr>
          <w:p>
            <w:r>
              <w:t>Learning segment</w:t>
            </w:r>
          </w:p>
        </w:tc>
        <w:tc>
          <w:tcPr>
            <w:tcW w:type="dxa" w:w="1620"/>
          </w:tcPr>
          <w:p>
            <w:r>
              <w:t>Slides</w:t>
            </w:r>
          </w:p>
        </w:tc>
        <w:tc>
          <w:tcPr>
            <w:tcW w:type="dxa" w:w="1620"/>
          </w:tcPr>
          <w:p>
            <w:r>
              <w:t>Method and trainer actions</w:t>
            </w:r>
          </w:p>
        </w:tc>
        <w:tc>
          <w:tcPr>
            <w:tcW w:type="dxa" w:w="1620"/>
          </w:tcPr>
          <w:p>
            <w:r>
              <w:t>Learner evidence</w:t>
            </w:r>
          </w:p>
        </w:tc>
      </w:tr>
      <w:tr>
        <w:tc>
          <w:tcPr>
            <w:tcW w:type="dxa" w:w="1620"/>
            <w:vAlign w:val="top"/>
          </w:tcPr>
          <w:p>
            <w:r>
              <w:t>09:30–09:45</w:t>
            </w:r>
          </w:p>
        </w:tc>
        <w:tc>
          <w:tcPr>
            <w:tcW w:type="dxa" w:w="1620"/>
            <w:vAlign w:val="top"/>
          </w:tcPr>
          <w:p>
            <w:r>
              <w:t>0:15</w:t>
            </w:r>
          </w:p>
        </w:tc>
        <w:tc>
          <w:tcPr>
            <w:tcW w:type="dxa" w:w="1620"/>
            <w:vAlign w:val="top"/>
          </w:tcPr>
          <w:p>
            <w:r>
              <w:t>Recap and outcomes</w:t>
            </w:r>
          </w:p>
        </w:tc>
        <w:tc>
          <w:tcPr>
            <w:tcW w:type="dxa" w:w="1620"/>
            <w:vAlign w:val="top"/>
          </w:tcPr>
          <w:p>
            <w:r>
              <w:t>—</w:t>
            </w:r>
          </w:p>
        </w:tc>
        <w:tc>
          <w:tcPr>
            <w:tcW w:type="dxa" w:w="1620"/>
            <w:vAlign w:val="top"/>
          </w:tcPr>
          <w:p>
            <w:r>
              <w:t>Retrieval questions and agenda</w:t>
            </w:r>
          </w:p>
        </w:tc>
        <w:tc>
          <w:tcPr>
            <w:tcW w:type="dxa" w:w="1620"/>
            <w:vAlign w:val="top"/>
          </w:tcPr>
          <w:p>
            <w:r>
              <w:t>Recall check</w:t>
            </w:r>
          </w:p>
        </w:tc>
      </w:tr>
      <w:tr>
        <w:tc>
          <w:tcPr>
            <w:tcW w:type="dxa" w:w="1620"/>
            <w:vAlign w:val="top"/>
          </w:tcPr>
          <w:p>
            <w:r>
              <w:t>09:45–10:55</w:t>
            </w:r>
          </w:p>
        </w:tc>
        <w:tc>
          <w:tcPr>
            <w:tcW w:type="dxa" w:w="1620"/>
            <w:vAlign w:val="top"/>
          </w:tcPr>
          <w:p>
            <w:r>
              <w:t>1:10</w:t>
            </w:r>
          </w:p>
        </w:tc>
        <w:tc>
          <w:tcPr>
            <w:tcW w:type="dxa" w:w="1620"/>
            <w:vAlign w:val="top"/>
          </w:tcPr>
          <w:p>
            <w:r>
              <w:t>Projections and scenarios</w:t>
            </w:r>
          </w:p>
        </w:tc>
        <w:tc>
          <w:tcPr>
            <w:tcW w:type="dxa" w:w="1620"/>
            <w:vAlign w:val="top"/>
          </w:tcPr>
          <w:p>
            <w:r>
              <w:t>48–56</w:t>
            </w:r>
          </w:p>
        </w:tc>
        <w:tc>
          <w:tcPr>
            <w:tcW w:type="dxa" w:w="1620"/>
            <w:vAlign w:val="top"/>
          </w:tcPr>
          <w:p>
            <w:r>
              <w:t>Scenario modelling and fleet worked example</w:t>
            </w:r>
          </w:p>
        </w:tc>
        <w:tc>
          <w:tcPr>
            <w:tcW w:type="dxa" w:w="1620"/>
            <w:vAlign w:val="top"/>
          </w:tcPr>
          <w:p>
            <w:r>
              <w:t>Scenario assumptions register</w:t>
            </w:r>
          </w:p>
        </w:tc>
      </w:tr>
      <w:tr>
        <w:tc>
          <w:tcPr>
            <w:tcW w:type="dxa" w:w="1620"/>
            <w:vAlign w:val="top"/>
          </w:tcPr>
          <w:p>
            <w:r>
              <w:t>10:55–12:05</w:t>
            </w:r>
          </w:p>
        </w:tc>
        <w:tc>
          <w:tcPr>
            <w:tcW w:type="dxa" w:w="1620"/>
            <w:vAlign w:val="top"/>
          </w:tcPr>
          <w:p>
            <w:r>
              <w:t>1:10</w:t>
            </w:r>
          </w:p>
        </w:tc>
        <w:tc>
          <w:tcPr>
            <w:tcW w:type="dxa" w:w="1620"/>
            <w:vAlign w:val="top"/>
          </w:tcPr>
          <w:p>
            <w:r>
              <w:t>Technologies and feasibility</w:t>
            </w:r>
          </w:p>
        </w:tc>
        <w:tc>
          <w:tcPr>
            <w:tcW w:type="dxa" w:w="1620"/>
            <w:vAlign w:val="top"/>
          </w:tcPr>
          <w:p>
            <w:r>
              <w:t>57–65</w:t>
            </w:r>
          </w:p>
        </w:tc>
        <w:tc>
          <w:tcPr>
            <w:tcW w:type="dxa" w:w="1620"/>
            <w:vAlign w:val="top"/>
          </w:tcPr>
          <w:p>
            <w:r>
              <w:t>Technology cards, feasibility gate and pilot design</w:t>
            </w:r>
          </w:p>
        </w:tc>
        <w:tc>
          <w:tcPr>
            <w:tcW w:type="dxa" w:w="1620"/>
            <w:vAlign w:val="top"/>
          </w:tcPr>
          <w:p>
            <w:r>
              <w:t>Feasibility scorecard</w:t>
            </w:r>
          </w:p>
        </w:tc>
      </w:tr>
      <w:tr>
        <w:tc>
          <w:tcPr>
            <w:tcW w:type="dxa" w:w="1620"/>
            <w:vAlign w:val="top"/>
          </w:tcPr>
          <w:p>
            <w:r>
              <w:t>12:05–13:00</w:t>
            </w:r>
          </w:p>
        </w:tc>
        <w:tc>
          <w:tcPr>
            <w:tcW w:type="dxa" w:w="1620"/>
            <w:vAlign w:val="top"/>
          </w:tcPr>
          <w:p>
            <w:r>
              <w:t>0:55</w:t>
            </w:r>
          </w:p>
        </w:tc>
        <w:tc>
          <w:tcPr>
            <w:tcW w:type="dxa" w:w="1620"/>
            <w:vAlign w:val="top"/>
          </w:tcPr>
          <w:p>
            <w:r>
              <w:t>Portfolio prioritisation</w:t>
            </w:r>
          </w:p>
        </w:tc>
        <w:tc>
          <w:tcPr>
            <w:tcW w:type="dxa" w:w="1620"/>
            <w:vAlign w:val="top"/>
          </w:tcPr>
          <w:p>
            <w:r>
              <w:t>66–74</w:t>
            </w:r>
          </w:p>
        </w:tc>
        <w:tc>
          <w:tcPr>
            <w:tcW w:type="dxa" w:w="1620"/>
            <w:vAlign w:val="top"/>
          </w:tcPr>
          <w:p>
            <w:r>
              <w:t>MCDA, MACC, dependencies and bias checks</w:t>
            </w:r>
          </w:p>
        </w:tc>
        <w:tc>
          <w:tcPr>
            <w:tcW w:type="dxa" w:w="1620"/>
            <w:vAlign w:val="top"/>
          </w:tcPr>
          <w:p>
            <w:r>
              <w:t>Portfolio rationale</w:t>
            </w:r>
          </w:p>
        </w:tc>
      </w:tr>
      <w:tr>
        <w:tc>
          <w:tcPr>
            <w:tcW w:type="dxa" w:w="1620"/>
            <w:vAlign w:val="top"/>
          </w:tcPr>
          <w:p>
            <w:r>
              <w:t>13:00–13:30</w:t>
            </w:r>
          </w:p>
        </w:tc>
        <w:tc>
          <w:tcPr>
            <w:tcW w:type="dxa" w:w="1620"/>
            <w:vAlign w:val="top"/>
          </w:tcPr>
          <w:p>
            <w:r>
              <w:t>—</w:t>
            </w:r>
          </w:p>
        </w:tc>
        <w:tc>
          <w:tcPr>
            <w:tcW w:type="dxa" w:w="1620"/>
            <w:vAlign w:val="top"/>
          </w:tcPr>
          <w:p>
            <w:r>
              <w:t>Lunch</w:t>
            </w:r>
          </w:p>
        </w:tc>
        <w:tc>
          <w:tcPr>
            <w:tcW w:type="dxa" w:w="1620"/>
            <w:vAlign w:val="top"/>
          </w:tcPr>
          <w:p>
            <w:r>
              <w:t>—</w:t>
            </w:r>
          </w:p>
        </w:tc>
        <w:tc>
          <w:tcPr>
            <w:tcW w:type="dxa" w:w="1620"/>
            <w:vAlign w:val="top"/>
          </w:tcPr>
          <w:p>
            <w:r>
              <w:t>Not counted as training time</w:t>
            </w:r>
          </w:p>
        </w:tc>
        <w:tc>
          <w:tcPr>
            <w:tcW w:type="dxa" w:w="1620"/>
            <w:vAlign w:val="top"/>
          </w:tcPr>
          <w:p>
            <w:r>
              <w:t>—</w:t>
            </w:r>
          </w:p>
        </w:tc>
      </w:tr>
      <w:tr>
        <w:tc>
          <w:tcPr>
            <w:tcW w:type="dxa" w:w="1620"/>
            <w:vAlign w:val="top"/>
          </w:tcPr>
          <w:p>
            <w:r>
              <w:t>13:30–15:00</w:t>
            </w:r>
          </w:p>
        </w:tc>
        <w:tc>
          <w:tcPr>
            <w:tcW w:type="dxa" w:w="1620"/>
            <w:vAlign w:val="top"/>
          </w:tcPr>
          <w:p>
            <w:r>
              <w:t>1:30</w:t>
            </w:r>
          </w:p>
        </w:tc>
        <w:tc>
          <w:tcPr>
            <w:tcW w:type="dxa" w:w="1620"/>
            <w:vAlign w:val="top"/>
          </w:tcPr>
          <w:p>
            <w:r>
              <w:t>Activities 4–6</w:t>
            </w:r>
          </w:p>
        </w:tc>
        <w:tc>
          <w:tcPr>
            <w:tcW w:type="dxa" w:w="1620"/>
            <w:vAlign w:val="top"/>
          </w:tcPr>
          <w:p>
            <w:r>
              <w:t>77–79</w:t>
            </w:r>
          </w:p>
        </w:tc>
        <w:tc>
          <w:tcPr>
            <w:tcW w:type="dxa" w:w="1620"/>
            <w:vAlign w:val="top"/>
          </w:tcPr>
          <w:p>
            <w:r>
              <w:t>Scenario model, pilot screen and portfolio workshop</w:t>
            </w:r>
          </w:p>
        </w:tc>
        <w:tc>
          <w:tcPr>
            <w:tcW w:type="dxa" w:w="1620"/>
            <w:vAlign w:val="top"/>
          </w:tcPr>
          <w:p>
            <w:r>
              <w:t>Model, charter and decision record</w:t>
            </w:r>
          </w:p>
        </w:tc>
      </w:tr>
      <w:tr>
        <w:tc>
          <w:tcPr>
            <w:tcW w:type="dxa" w:w="1620"/>
            <w:vAlign w:val="top"/>
          </w:tcPr>
          <w:p>
            <w:r>
              <w:t>15:00–15:55</w:t>
            </w:r>
          </w:p>
        </w:tc>
        <w:tc>
          <w:tcPr>
            <w:tcW w:type="dxa" w:w="1620"/>
            <w:vAlign w:val="top"/>
          </w:tcPr>
          <w:p>
            <w:r>
              <w:t>0:55</w:t>
            </w:r>
          </w:p>
        </w:tc>
        <w:tc>
          <w:tcPr>
            <w:tcW w:type="dxa" w:w="1620"/>
            <w:vAlign w:val="top"/>
          </w:tcPr>
          <w:p>
            <w:r>
              <w:t>EMS and governance</w:t>
            </w:r>
          </w:p>
        </w:tc>
        <w:tc>
          <w:tcPr>
            <w:tcW w:type="dxa" w:w="1620"/>
            <w:vAlign w:val="top"/>
          </w:tcPr>
          <w:p>
            <w:r>
              <w:t>81–89</w:t>
            </w:r>
          </w:p>
        </w:tc>
        <w:tc>
          <w:tcPr>
            <w:tcW w:type="dxa" w:w="1620"/>
            <w:vAlign w:val="top"/>
          </w:tcPr>
          <w:p>
            <w:r>
              <w:t>PDCA, controls and variance decision</w:t>
            </w:r>
          </w:p>
        </w:tc>
        <w:tc>
          <w:tcPr>
            <w:tcW w:type="dxa" w:w="1620"/>
            <w:vAlign w:val="top"/>
          </w:tcPr>
          <w:p>
            <w:r>
              <w:t>Governance and control map</w:t>
            </w:r>
          </w:p>
        </w:tc>
      </w:tr>
      <w:tr>
        <w:tc>
          <w:tcPr>
            <w:tcW w:type="dxa" w:w="1620"/>
            <w:vAlign w:val="top"/>
          </w:tcPr>
          <w:p>
            <w:r>
              <w:t>15:55–16:50</w:t>
            </w:r>
          </w:p>
        </w:tc>
        <w:tc>
          <w:tcPr>
            <w:tcW w:type="dxa" w:w="1620"/>
            <w:vAlign w:val="top"/>
          </w:tcPr>
          <w:p>
            <w:r>
              <w:t>0:55</w:t>
            </w:r>
          </w:p>
        </w:tc>
        <w:tc>
          <w:tcPr>
            <w:tcW w:type="dxa" w:w="1620"/>
            <w:vAlign w:val="top"/>
          </w:tcPr>
          <w:p>
            <w:r>
              <w:t>Reduction-plan architecture and action planning</w:t>
            </w:r>
          </w:p>
        </w:tc>
        <w:tc>
          <w:tcPr>
            <w:tcW w:type="dxa" w:w="1620"/>
            <w:vAlign w:val="top"/>
          </w:tcPr>
          <w:p>
            <w:r>
              <w:t>90–107</w:t>
            </w:r>
          </w:p>
        </w:tc>
        <w:tc>
          <w:tcPr>
            <w:tcW w:type="dxa" w:w="1620"/>
            <w:vAlign w:val="top"/>
          </w:tcPr>
          <w:p>
            <w:r>
              <w:t>Target, roadmap, action contract and Singapore case</w:t>
            </w:r>
          </w:p>
        </w:tc>
        <w:tc>
          <w:tcPr>
            <w:tcW w:type="dxa" w:w="1620"/>
            <w:vAlign w:val="top"/>
          </w:tcPr>
          <w:p>
            <w:r>
              <w:t>Draft reduction-plan architecture</w:t>
            </w:r>
          </w:p>
        </w:tc>
      </w:tr>
      <w:tr>
        <w:tc>
          <w:tcPr>
            <w:tcW w:type="dxa" w:w="1620"/>
            <w:vAlign w:val="top"/>
          </w:tcPr>
          <w:p>
            <w:r>
              <w:t>16:50–17:30</w:t>
            </w:r>
          </w:p>
        </w:tc>
        <w:tc>
          <w:tcPr>
            <w:tcW w:type="dxa" w:w="1620"/>
            <w:vAlign w:val="top"/>
          </w:tcPr>
          <w:p>
            <w:r>
              <w:t>0:40</w:t>
            </w:r>
          </w:p>
        </w:tc>
        <w:tc>
          <w:tcPr>
            <w:tcW w:type="dxa" w:w="1620"/>
            <w:vAlign w:val="top"/>
          </w:tcPr>
          <w:p>
            <w:r>
              <w:t>Activities 7–9 and course synthesis</w:t>
            </w:r>
          </w:p>
        </w:tc>
        <w:tc>
          <w:tcPr>
            <w:tcW w:type="dxa" w:w="1620"/>
            <w:vAlign w:val="top"/>
          </w:tcPr>
          <w:p>
            <w:r>
              <w:t>111–113</w:t>
            </w:r>
          </w:p>
        </w:tc>
        <w:tc>
          <w:tcPr>
            <w:tcW w:type="dxa" w:w="1620"/>
            <w:vAlign w:val="top"/>
          </w:tcPr>
          <w:p>
            <w:r>
              <w:t>MR readiness, engagement design and capstone board review</w:t>
            </w:r>
          </w:p>
        </w:tc>
        <w:tc>
          <w:tcPr>
            <w:tcW w:type="dxa" w:w="1620"/>
            <w:vAlign w:val="top"/>
          </w:tcPr>
          <w:p>
            <w:r>
              <w:t>Readiness plan, programme canvas and board-ready roadmap</w:t>
            </w:r>
          </w:p>
        </w:tc>
      </w:tr>
    </w:tbl>
    <w:p>
      <w:r>
        <w:br w:type="page"/>
      </w:r>
    </w:p>
    <w:p>
      <w:pPr>
        <w:pStyle w:val="Heading1"/>
      </w:pPr>
      <w:r>
        <w:t>Resources</w:t>
      </w:r>
    </w:p>
    <w:p>
      <w:pPr>
        <w:pStyle w:val="ListBullet"/>
      </w:pPr>
      <w:r>
        <w:t>v1.0 course slide deck</w:t>
      </w:r>
    </w:p>
    <w:p>
      <w:pPr>
        <w:pStyle w:val="ListBullet"/>
      </w:pPr>
      <w:r>
        <w:t>v1.0 Learner Guide</w:t>
      </w:r>
    </w:p>
    <w:p>
      <w:pPr>
        <w:pStyle w:val="ListBullet"/>
      </w:pPr>
      <w:r>
        <w:t>Nine activity folders and datasets</w:t>
      </w:r>
    </w:p>
    <w:p>
      <w:pPr>
        <w:pStyle w:val="ListBullet"/>
      </w:pPr>
      <w:r>
        <w:t>SG Carbon Calculator</w:t>
      </w:r>
    </w:p>
    <w:p>
      <w:pPr>
        <w:pStyle w:val="ListBullet"/>
      </w:pPr>
      <w:r>
        <w:t>Source register and current primary-source checks</w:t>
      </w:r>
    </w:p>
    <w:sectPr w:rsidR="00FC693F" w:rsidRPr="0006063C" w:rsidSect="00034616">
      <w:footerReference w:type="default" r:id="rId9"/>
      <w:headerReference w:type="default" r:id="rId11"/>
      <w:footerReference w:type="first" r:id="rId12"/>
      <w:footerReference w:type="even" r:id="rId13"/>
      <w:pgSz w:w="11909" w:h="16834"/>
      <w:pgMar w:top="1037" w:right="1094" w:bottom="1037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eader" Target="head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LP-Sustainability Masterclass (C752)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