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Title"/>
      </w:pPr>
      <w:r>
        <w:t>AI Transformation with Microsoft Copilot</w:t>
      </w:r>
    </w:p>
    <w:p>
      <w:r>
        <w:t>Lesson Plan | C776 | v1.0 | 1 October 2026</w:t>
      </w:r>
    </w:p>
    <w:p>
      <w:r>
        <w:t>Conducted by Tertiary Infotech Academy Pte Ltd ·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Material changes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 October 2026</w:t>
            </w:r>
          </w:p>
        </w:tc>
        <w:tc>
          <w:tcPr>
            <w:tcW w:type="dxa" w:w="2160"/>
          </w:tcPr>
          <w:p>
            <w:r>
              <w:t>Initial release: Microsoft 365 Copilot, no-code Workflows, Agent Builder and business outcomes.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Table of contents</w:t>
      </w:r>
    </w:p>
    <w:p>
      <w:pPr>
        <w:spacing w:after="0"/>
      </w:pPr>
      <w:r>
        <w:fldChar w:fldCharType="begin"/>
      </w:r>
      <w:r>
        <w:instrText xml:space="preserve">TOC \o "1-3" \h \z \u</w:instrText>
      </w:r>
      <w:r>
        <w:fldChar w:fldCharType="end"/>
      </w:r>
    </w:p>
    <w:p>
      <w:pPr>
        <w:ind w:left="288"/>
      </w:pPr>
      <w:hyperlink w:anchor="day1">
        <w:r>
          <w:rPr>
            <w:color w:val="1F6FEB"/>
          </w:rPr>
          <w:t>Day 1 · LO1 and LO2  ........................................  3</w:t>
        </w:r>
      </w:hyperlink>
    </w:p>
    <w:p>
      <w:pPr>
        <w:ind w:left="288"/>
      </w:pPr>
      <w:hyperlink w:anchor="day2">
        <w:r>
          <w:rPr>
            <w:color w:val="1F6FEB"/>
          </w:rPr>
          <w:t>Day 2 · LO2, LO3 and LO4  ........................................  3</w:t>
        </w:r>
      </w:hyperlink>
    </w:p>
    <w:p>
      <w:pPr>
        <w:ind w:left="288"/>
      </w:pPr>
      <w:hyperlink w:anchor="outcomemap">
        <w:r>
          <w:rPr>
            <w:color w:val="1F6FEB"/>
          </w:rPr>
          <w:t>Outcome-to-evidence map  ........................................  3</w:t>
        </w:r>
      </w:hyperlink>
    </w:p>
    <w:p>
      <w:pPr>
        <w:pStyle w:val="Heading1"/>
      </w:pPr>
      <w:r>
        <w:t>Course learning outcomes</w:t>
      </w:r>
    </w:p>
    <w:p>
      <w:pPr>
        <w:pStyle w:val="ListBullet"/>
      </w:pPr>
      <w:r>
        <w:t>LO1. Develop technology implementation plans and business processes for Microsoft Copilot.</w:t>
      </w:r>
    </w:p>
    <w:p>
      <w:pPr>
        <w:pStyle w:val="ListBullet"/>
      </w:pPr>
      <w:r>
        <w:t>LO2. Develop control procedures for Microsoft Copilot to manage security.</w:t>
      </w:r>
    </w:p>
    <w:p>
      <w:pPr>
        <w:pStyle w:val="ListBullet"/>
      </w:pPr>
      <w:r>
        <w:t>LO3. Evaluate the integration of Microsoft Copilot to ensure alignment with business objectives.</w:t>
      </w:r>
    </w:p>
    <w:p>
      <w:pPr>
        <w:pStyle w:val="ListBullet"/>
      </w:pPr>
      <w:r>
        <w:t>LO4. Develop optimization plans for Microsoft Copilot to improve business operations.</w:t>
      </w:r>
    </w:p>
    <w:p>
      <w:pPr>
        <w:pStyle w:val="Heading1"/>
      </w:pPr>
      <w:r>
        <w:t>Delivery structure</w:t>
      </w:r>
    </w:p>
    <w:p>
      <w:r>
        <w:t>Two days, 15 instructional hours total: 9:30am – 5:30pm each day, 7.5 instructional hours plus a 30-minute lunch break. Trainer adjusts pace to learner evidence while preserving outcome coverage.</w:t>
      </w:r>
    </w:p>
    <w:p>
      <w:r>
        <w:br w:type="page"/>
      </w:r>
    </w:p>
    <w:p>
      <w:bookmarkStart w:id="59424" w:name="day1"/>
      <w:pPr>
        <w:pStyle w:val="Heading2"/>
      </w:pPr>
      <w:r>
        <w:t>Day 1 · LO1 and LO2</w:t>
      </w:r>
      <w:bookmarkEnd w:id="59424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Teaching and evidence</w:t>
            </w:r>
          </w:p>
        </w:tc>
      </w:tr>
      <w:tr>
        <w:tc>
          <w:tcPr>
            <w:tcW w:type="dxa" w:w="4320"/>
          </w:tcPr>
          <w:p>
            <w:r>
              <w:t>09:30–10:15</w:t>
            </w:r>
          </w:p>
        </w:tc>
        <w:tc>
          <w:tcPr>
            <w:tcW w:type="dxa" w:w="4320"/>
          </w:tcPr>
          <w:p>
            <w:r>
              <w:t>Choose a business outcome and see Copilot Chat, Pages and prompts</w:t>
            </w:r>
          </w:p>
        </w:tc>
      </w:tr>
      <w:tr>
        <w:tc>
          <w:tcPr>
            <w:tcW w:type="dxa" w:w="4320"/>
          </w:tcPr>
          <w:p>
            <w:r>
              <w:t>10:15–11:30</w:t>
            </w:r>
          </w:p>
        </w:tc>
        <w:tc>
          <w:tcPr>
            <w:tcW w:type="dxa" w:w="4320"/>
          </w:tcPr>
          <w:p>
            <w:r>
              <w:t>Source-backed Copilot Chat and shared planning, Lab 01</w:t>
            </w:r>
          </w:p>
        </w:tc>
      </w:tr>
      <w:tr>
        <w:tc>
          <w:tcPr>
            <w:tcW w:type="dxa" w:w="4320"/>
          </w:tcPr>
          <w:p>
            <w:r>
              <w:t>11:30–13:00</w:t>
            </w:r>
          </w:p>
        </w:tc>
        <w:tc>
          <w:tcPr>
            <w:tcW w:type="dxa" w:w="4320"/>
          </w:tcPr>
          <w:p>
            <w:r>
              <w:t>Word, PowerPoint and Outlook business content, Lab 02</w:t>
            </w:r>
          </w:p>
        </w:tc>
      </w:tr>
      <w:tr>
        <w:tc>
          <w:tcPr>
            <w:tcW w:type="dxa" w:w="4320"/>
          </w:tcPr>
          <w:p>
            <w:r>
              <w:t>13:00–13:30</w:t>
            </w:r>
          </w:p>
        </w:tc>
        <w:tc>
          <w:tcPr>
            <w:tcW w:type="dxa" w:w="4320"/>
          </w:tcPr>
          <w:p>
            <w:r>
              <w:t>Lunch break</w:t>
            </w:r>
          </w:p>
        </w:tc>
      </w:tr>
      <w:tr>
        <w:tc>
          <w:tcPr>
            <w:tcW w:type="dxa" w:w="4320"/>
          </w:tcPr>
          <w:p>
            <w:r>
              <w:t>13:30–15:30</w:t>
            </w:r>
          </w:p>
        </w:tc>
        <w:tc>
          <w:tcPr>
            <w:tcW w:type="dxa" w:w="4320"/>
          </w:tcPr>
          <w:p>
            <w:r>
              <w:t>Excel analysis, Teams decisions and pilot process plan, Lab 03</w:t>
            </w:r>
          </w:p>
        </w:tc>
      </w:tr>
      <w:tr>
        <w:tc>
          <w:tcPr>
            <w:tcW w:type="dxa" w:w="4320"/>
          </w:tcPr>
          <w:p>
            <w:r>
              <w:t>15:30–16:15</w:t>
            </w:r>
          </w:p>
        </w:tc>
        <w:tc>
          <w:tcPr>
            <w:tcW w:type="dxa" w:w="4320"/>
          </w:tcPr>
          <w:p>
            <w:r>
              <w:t>Workflows agent: trigger, action, human review and exception</w:t>
            </w:r>
          </w:p>
        </w:tc>
      </w:tr>
      <w:tr>
        <w:tc>
          <w:tcPr>
            <w:tcW w:type="dxa" w:w="4320"/>
          </w:tcPr>
          <w:p>
            <w:r>
              <w:t>16:15–17:30</w:t>
            </w:r>
          </w:p>
        </w:tc>
        <w:tc>
          <w:tcPr>
            <w:tcW w:type="dxa" w:w="4320"/>
          </w:tcPr>
          <w:p>
            <w:r>
              <w:t>Design and simulate a Copilot Workflow, Lab 04</w:t>
            </w:r>
          </w:p>
        </w:tc>
      </w:tr>
    </w:tbl>
    <w:p>
      <w:r>
        <w:t>13:00–13:30 lunch is outside the 7.5 instructional hours. Short comfort pauses are managed within supervised reflection and feedback blocks. Retain learner artifacts and test results for each mapped lab.</w:t>
      </w:r>
    </w:p>
    <w:p>
      <w:bookmarkStart w:id="66383" w:name="day2"/>
      <w:pPr>
        <w:pStyle w:val="Heading2"/>
      </w:pPr>
      <w:r>
        <w:t>Day 2 · LO2, LO3 and LO4</w:t>
      </w:r>
      <w:bookmarkEnd w:id="66383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Teaching and evidence</w:t>
            </w:r>
          </w:p>
        </w:tc>
      </w:tr>
      <w:tr>
        <w:tc>
          <w:tcPr>
            <w:tcW w:type="dxa" w:w="4320"/>
          </w:tcPr>
          <w:p>
            <w:r>
              <w:t>09:30–11:00</w:t>
            </w:r>
          </w:p>
        </w:tc>
        <w:tc>
          <w:tcPr>
            <w:tcW w:type="dxa" w:w="4320"/>
          </w:tcPr>
          <w:p>
            <w:r>
              <w:t>Permissions, source checks, incident response and value, Lab 05</w:t>
            </w:r>
          </w:p>
        </w:tc>
      </w:tr>
      <w:tr>
        <w:tc>
          <w:tcPr>
            <w:tcW w:type="dxa" w:w="4320"/>
          </w:tcPr>
          <w:p>
            <w:r>
              <w:t>11:00–13:00</w:t>
            </w:r>
          </w:p>
        </w:tc>
        <w:tc>
          <w:tcPr>
            <w:tcW w:type="dxa" w:w="4320"/>
          </w:tcPr>
          <w:p>
            <w:r>
              <w:t>Workflow demonstration, failure tests and control charter</w:t>
            </w:r>
          </w:p>
        </w:tc>
      </w:tr>
      <w:tr>
        <w:tc>
          <w:tcPr>
            <w:tcW w:type="dxa" w:w="4320"/>
          </w:tcPr>
          <w:p>
            <w:r>
              <w:t>13:00–13:30</w:t>
            </w:r>
          </w:p>
        </w:tc>
        <w:tc>
          <w:tcPr>
            <w:tcW w:type="dxa" w:w="4320"/>
          </w:tcPr>
          <w:p>
            <w:r>
              <w:t>Lunch break</w:t>
            </w:r>
          </w:p>
        </w:tc>
      </w:tr>
      <w:tr>
        <w:tc>
          <w:tcPr>
            <w:tcW w:type="dxa" w:w="4320"/>
          </w:tcPr>
          <w:p>
            <w:r>
              <w:t>13:30–14:45</w:t>
            </w:r>
          </w:p>
        </w:tc>
        <w:tc>
          <w:tcPr>
            <w:tcW w:type="dxa" w:w="4320"/>
          </w:tcPr>
          <w:p>
            <w:r>
              <w:t>Agent Builder: purpose, instructions, knowledge and starter prompts, Lab 06</w:t>
            </w:r>
          </w:p>
        </w:tc>
      </w:tr>
      <w:tr>
        <w:tc>
          <w:tcPr>
            <w:tcW w:type="dxa" w:w="4320"/>
          </w:tcPr>
          <w:p>
            <w:r>
              <w:t>14:45–15:30</w:t>
            </w:r>
          </w:p>
        </w:tc>
        <w:tc>
          <w:tcPr>
            <w:tcW w:type="dxa" w:w="4320"/>
          </w:tcPr>
          <w:p>
            <w:r>
              <w:t>Test, share and monitor a bounded agent, Lab 07</w:t>
            </w:r>
          </w:p>
        </w:tc>
      </w:tr>
      <w:tr>
        <w:tc>
          <w:tcPr>
            <w:tcW w:type="dxa" w:w="4320"/>
          </w:tcPr>
          <w:p>
            <w:r>
              <w:t>15:30–17:30</w:t>
            </w:r>
          </w:p>
        </w:tc>
        <w:tc>
          <w:tcPr>
            <w:tcW w:type="dxa" w:w="4320"/>
          </w:tcPr>
          <w:p>
            <w:r>
              <w:t>Pilot adoption, value and board decision, Labs 08–10</w:t>
            </w:r>
          </w:p>
        </w:tc>
      </w:tr>
    </w:tbl>
    <w:p>
      <w:r>
        <w:t>13:00–13:30 lunch is outside the 7.5 instructional hours. Short comfort pauses are managed within supervised reflection and feedback blocks. Retain learner artifacts and test results for each mapped lab.</w:t>
      </w:r>
    </w:p>
    <w:p>
      <w:bookmarkStart w:id="86804" w:name="outcomemap"/>
      <w:pPr>
        <w:pStyle w:val="Heading1"/>
      </w:pPr>
      <w:r>
        <w:t>Outcome-to-evidence map</w:t>
      </w:r>
      <w:bookmarkEnd w:id="86804"/>
    </w:p>
    <w:p>
      <w:r>
        <w:t>LO1: Topic 1; executive cases NS-01, NS-02, NS-03, NS-04, NS-05, NS-06, NS-07, NS-08, NS-09, NS-10, NS-11, NS-12, NS-13, NS-14, NS-15.</w:t>
      </w:r>
    </w:p>
    <w:p>
      <w:r>
        <w:t>LO2: Topic 2; executive cases NS-16, NS-17, NS-18, NS-19, NS-20, NS-21, NS-22, NS-23, NS-24, NS-25.</w:t>
      </w:r>
    </w:p>
    <w:p>
      <w:r>
        <w:t>LO3: Topic 3; executive cases NS-26, NS-27, NS-28, NS-29, NS-30, NS-31, NS-32, NS-33, NS-34, NS-35.</w:t>
      </w:r>
    </w:p>
    <w:p>
      <w:r>
        <w:t>LO4: Topic 4; executive cases NS-36, NS-37, NS-38, NS-39, NS-40, NS-41, NS-42, NS-43, NS-44, NS-45, NS-46, NS-47, NS-48, NS-49, NS-50.</w:t>
      </w:r>
    </w:p>
    <w:sectPr w:rsidR="00FC693F" w:rsidRPr="0006063C" w:rsidSect="00034616">
      <w:headerReference w:type="default" r:id="rId9"/>
      <w:footerReference w:type="default" r:id="rId12"/>
      <w:headerReference w:type="first" r:id="rId13"/>
      <w:head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www.tertiarycourses.com.sg · Page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TERTIARY INFOTECH ACADEMY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