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5341"/>
          <w:sz w:val="56"/>
        </w:rPr>
        <w:t>LESSON PLAN</w:t>
        <w:br/>
      </w:r>
      <w:r>
        <w:rPr>
          <w:b/>
          <w:sz w:val="38"/>
        </w:rPr>
        <w:br/>
        <w:t>For</w:t>
        <w:br/>
        <w:br/>
        <w:t>Sustainability Reporting Masterclass</w:t>
        <w:br/>
        <w:br/>
      </w:r>
      <w:r>
        <w:t>Course Code: C797</w:t>
        <w:br/>
        <w:br/>
        <w:t>Conducted by</w:t>
        <w:br/>
        <w:t>Tertiary Infotech Academy Pte Ltd.</w:t>
        <w:br/>
        <w:t>UEN: 201200696W</w:t>
        <w:br/>
        <w:br/>
        <w:t>Version 1.0</w:t>
        <w:br/>
        <w:t>Effective date: 01 Oct 2026</w:t>
      </w:r>
    </w:p>
    <w:p>
      <w:r>
        <w:br w:type="page"/>
      </w:r>
    </w:p>
    <w:p>
      <w:pPr>
        <w:pStyle w:val="Heading1"/>
      </w:pPr>
      <w:r>
        <w:t>Document Version Control Record</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vAlign w:val="center"/>
          </w:tcPr>
          <w:p>
            <w:r>
              <w:rPr>
                <w:rFonts w:ascii="Arial" w:hAnsi="Arial"/>
                <w:b/>
                <w:sz w:val="20"/>
              </w:rPr>
              <w:t>Version</w:t>
            </w:r>
          </w:p>
        </w:tc>
        <w:tc>
          <w:tcPr>
            <w:tcW w:type="dxa" w:w="2437"/>
            <w:vAlign w:val="center"/>
          </w:tcPr>
          <w:p>
            <w:r>
              <w:rPr>
                <w:rFonts w:ascii="Arial" w:hAnsi="Arial"/>
                <w:b/>
                <w:sz w:val="20"/>
              </w:rPr>
              <w:t>Effective Date</w:t>
            </w:r>
          </w:p>
        </w:tc>
        <w:tc>
          <w:tcPr>
            <w:tcW w:type="dxa" w:w="2437"/>
            <w:vAlign w:val="center"/>
          </w:tcPr>
          <w:p>
            <w:r>
              <w:rPr>
                <w:rFonts w:ascii="Arial" w:hAnsi="Arial"/>
                <w:b/>
                <w:sz w:val="20"/>
              </w:rPr>
              <w:t>Changes</w:t>
            </w:r>
          </w:p>
        </w:tc>
        <w:tc>
          <w:tcPr>
            <w:tcW w:type="dxa" w:w="2437"/>
            <w:vAlign w:val="center"/>
          </w:tcPr>
          <w:p>
            <w:r>
              <w:rPr>
                <w:rFonts w:ascii="Arial" w:hAnsi="Arial"/>
                <w:b/>
                <w:sz w:val="20"/>
              </w:rPr>
              <w:t>Author</w:t>
            </w:r>
          </w:p>
        </w:tc>
      </w:tr>
      <w:tr>
        <w:tc>
          <w:tcPr>
            <w:tcW w:type="dxa" w:w="2437"/>
            <w:vAlign w:val="center"/>
          </w:tcPr>
          <w:p>
            <w:r>
              <w:rPr>
                <w:rFonts w:ascii="Arial" w:hAnsi="Arial"/>
                <w:b w:val="0"/>
                <w:sz w:val="20"/>
              </w:rPr>
              <w:t>1.0</w:t>
            </w:r>
          </w:p>
        </w:tc>
        <w:tc>
          <w:tcPr>
            <w:tcW w:type="dxa" w:w="2437"/>
            <w:vAlign w:val="center"/>
          </w:tcPr>
          <w:p>
            <w:r>
              <w:rPr>
                <w:rFonts w:ascii="Arial" w:hAnsi="Arial"/>
                <w:b w:val="0"/>
                <w:sz w:val="20"/>
              </w:rPr>
              <w:t>01 Oct 2026</w:t>
            </w:r>
          </w:p>
        </w:tc>
        <w:tc>
          <w:tcPr>
            <w:tcW w:type="dxa" w:w="2437"/>
            <w:vAlign w:val="center"/>
          </w:tcPr>
          <w:p>
            <w:r>
              <w:rPr>
                <w:rFonts w:ascii="Arial" w:hAnsi="Arial"/>
                <w:b w:val="0"/>
                <w:sz w:val="20"/>
              </w:rPr>
              <w:t>First version of the Sustainability Reporting Masterclass lesson plan: two-day schedule (9:30am – 5:30pm, 15 instructional hours) mapped to the v1.0 212-slide deck.</w:t>
            </w:r>
          </w:p>
        </w:tc>
        <w:tc>
          <w:tcPr>
            <w:tcW w:type="dxa" w:w="2437"/>
            <w:vAlign w:val="center"/>
          </w:tcPr>
          <w:p>
            <w:r>
              <w:rPr>
                <w:rFonts w:ascii="Arial" w:hAnsi="Arial"/>
                <w:b w:val="0"/>
                <w:sz w:val="20"/>
              </w:rPr>
              <w:t>Tertiary Infotech Academy</w:t>
            </w:r>
          </w:p>
        </w:tc>
      </w:tr>
    </w:tbl>
    <w:p>
      <w:r>
        <w:br w:type="page"/>
      </w:r>
    </w:p>
    <w:p>
      <w:pPr>
        <w:pStyle w:val="Heading1"/>
      </w:pPr>
      <w:r>
        <w:t>Table of Contents</w:t>
      </w:r>
    </w:p>
    <w:p>
      <w:pPr>
        <w:tabs>
          <w:tab w:pos="9072" w:val="right" w:leader="dot"/>
        </w:tabs>
        <w:spacing w:after="60"/>
      </w:pPr>
      <w:r>
        <w:rPr>
          <w:rFonts w:ascii="Arial" w:hAnsi="Arial"/>
          <w:b/>
          <w:color w:val="333333"/>
          <w:sz w:val="22"/>
        </w:rPr>
        <w:t>Document Version Control Record</w:t>
        <w:tab/>
        <w:t>2</w:t>
      </w:r>
    </w:p>
    <w:p>
      <w:pPr>
        <w:tabs>
          <w:tab w:pos="9072" w:val="right" w:leader="dot"/>
        </w:tabs>
        <w:spacing w:after="60"/>
      </w:pPr>
      <w:r>
        <w:rPr>
          <w:rFonts w:ascii="Arial" w:hAnsi="Arial"/>
          <w:b/>
          <w:color w:val="333333"/>
          <w:sz w:val="22"/>
        </w:rPr>
        <w:t>Table of Contents</w:t>
        <w:tab/>
        <w:t>3</w:t>
      </w:r>
    </w:p>
    <w:p>
      <w:pPr>
        <w:tabs>
          <w:tab w:pos="9072" w:val="right" w:leader="dot"/>
        </w:tabs>
        <w:spacing w:after="60"/>
      </w:pPr>
      <w:r>
        <w:rPr>
          <w:rFonts w:ascii="Arial" w:hAnsi="Arial"/>
          <w:b/>
          <w:color w:val="333333"/>
          <w:sz w:val="22"/>
        </w:rPr>
        <w:t>Delivery Summary</w:t>
        <w:tab/>
        <w:t>4</w:t>
      </w:r>
    </w:p>
    <w:p>
      <w:pPr>
        <w:tabs>
          <w:tab w:pos="9072" w:val="right" w:leader="dot"/>
        </w:tabs>
        <w:spacing w:after="60"/>
      </w:pPr>
      <w:r>
        <w:rPr>
          <w:rFonts w:ascii="Arial" w:hAnsi="Arial"/>
          <w:b/>
          <w:color w:val="333333"/>
          <w:sz w:val="22"/>
        </w:rPr>
        <w:t>Day 1 · 9:30am – 5:30pm</w:t>
        <w:tab/>
        <w:t>4</w:t>
      </w:r>
    </w:p>
    <w:p>
      <w:pPr>
        <w:tabs>
          <w:tab w:pos="9072" w:val="right" w:leader="dot"/>
        </w:tabs>
        <w:spacing w:after="60"/>
      </w:pPr>
      <w:r>
        <w:rPr>
          <w:rFonts w:ascii="Arial" w:hAnsi="Arial"/>
          <w:b/>
          <w:color w:val="333333"/>
          <w:sz w:val="22"/>
        </w:rPr>
        <w:t>Day 2 · 9:30am – 5:30pm</w:t>
        <w:tab/>
        <w:t>4</w:t>
      </w:r>
    </w:p>
    <w:p>
      <w:pPr>
        <w:tabs>
          <w:tab w:pos="9072" w:val="right" w:leader="dot"/>
        </w:tabs>
        <w:spacing w:after="60"/>
      </w:pPr>
      <w:r>
        <w:rPr>
          <w:rFonts w:ascii="Arial" w:hAnsi="Arial"/>
          <w:b/>
          <w:color w:val="333333"/>
          <w:sz w:val="22"/>
        </w:rPr>
        <w:t>Facilitation notes</w:t>
        <w:tab/>
        <w:t>4</w:t>
      </w:r>
    </w:p>
    <w:p>
      <w:r>
        <w:br w:type="page"/>
      </w:r>
    </w:p>
    <w:p>
      <w:pPr>
        <w:pStyle w:val="Heading1"/>
      </w:pPr>
      <w:r>
        <w:t>Delivery Summary</w:t>
      </w:r>
    </w:p>
    <w:p>
      <w:r>
        <w:t>Mode: classroom facilitation. Duration: 15 instructional hours over 2 days, 7.5 hours a day from 9:30am – 5:30pm with a single 30-minute lunch. Break durations are not counted as training time.</w:t>
      </w:r>
    </w:p>
    <w:p>
      <w:pPr>
        <w:pStyle w:val="Heading1"/>
      </w:pPr>
      <w:r>
        <w:t>Day 1 · 9:30am – 5:30pm</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vAlign w:val="center"/>
          </w:tcPr>
          <w:p>
            <w:r>
              <w:rPr>
                <w:rFonts w:ascii="Arial" w:hAnsi="Arial"/>
                <w:b/>
                <w:sz w:val="18"/>
              </w:rPr>
              <w:t>Time</w:t>
            </w:r>
          </w:p>
        </w:tc>
        <w:tc>
          <w:tcPr>
            <w:tcW w:type="dxa" w:w="1950"/>
            <w:vAlign w:val="center"/>
          </w:tcPr>
          <w:p>
            <w:r>
              <w:rPr>
                <w:rFonts w:ascii="Arial" w:hAnsi="Arial"/>
                <w:b/>
                <w:sz w:val="18"/>
              </w:rPr>
              <w:t>Duration</w:t>
            </w:r>
          </w:p>
        </w:tc>
        <w:tc>
          <w:tcPr>
            <w:tcW w:type="dxa" w:w="1950"/>
            <w:vAlign w:val="center"/>
          </w:tcPr>
          <w:p>
            <w:r>
              <w:rPr>
                <w:rFonts w:ascii="Arial" w:hAnsi="Arial"/>
                <w:b/>
                <w:sz w:val="18"/>
              </w:rPr>
              <w:t>Topic / mapping</w:t>
            </w:r>
          </w:p>
        </w:tc>
        <w:tc>
          <w:tcPr>
            <w:tcW w:type="dxa" w:w="1950"/>
            <w:vAlign w:val="center"/>
          </w:tcPr>
          <w:p>
            <w:r>
              <w:rPr>
                <w:rFonts w:ascii="Arial" w:hAnsi="Arial"/>
                <w:b/>
                <w:sz w:val="18"/>
              </w:rPr>
              <w:t>Method</w:t>
            </w:r>
          </w:p>
        </w:tc>
        <w:tc>
          <w:tcPr>
            <w:tcW w:type="dxa" w:w="1950"/>
            <w:vAlign w:val="center"/>
          </w:tcPr>
          <w:p>
            <w:r>
              <w:rPr>
                <w:rFonts w:ascii="Arial" w:hAnsi="Arial"/>
                <w:b/>
                <w:sz w:val="18"/>
              </w:rPr>
              <w:t>Resource / slide</w:t>
            </w:r>
          </w:p>
        </w:tc>
      </w:tr>
      <w:tr>
        <w:tc>
          <w:tcPr>
            <w:tcW w:type="dxa" w:w="1950"/>
            <w:vAlign w:val="center"/>
          </w:tcPr>
          <w:p>
            <w:r>
              <w:rPr>
                <w:rFonts w:ascii="Arial" w:hAnsi="Arial"/>
                <w:b w:val="0"/>
                <w:sz w:val="17"/>
              </w:rPr>
              <w:t>09:30–09:35</w:t>
            </w:r>
          </w:p>
        </w:tc>
        <w:tc>
          <w:tcPr>
            <w:tcW w:type="dxa" w:w="1950"/>
            <w:vAlign w:val="center"/>
          </w:tcPr>
          <w:p>
            <w:r>
              <w:rPr>
                <w:rFonts w:ascii="Arial" w:hAnsi="Arial"/>
                <w:b w:val="0"/>
                <w:sz w:val="17"/>
              </w:rPr>
              <w:t>5 min</w:t>
            </w:r>
          </w:p>
        </w:tc>
        <w:tc>
          <w:tcPr>
            <w:tcW w:type="dxa" w:w="1950"/>
            <w:vAlign w:val="center"/>
          </w:tcPr>
          <w:p>
            <w:r>
              <w:rPr>
                <w:rFonts w:ascii="Arial" w:hAnsi="Arial"/>
                <w:b w:val="0"/>
                <w:sz w:val="17"/>
              </w:rPr>
              <w:t>Opening and course overview</w:t>
            </w:r>
          </w:p>
        </w:tc>
        <w:tc>
          <w:tcPr>
            <w:tcW w:type="dxa" w:w="1950"/>
            <w:vAlign w:val="center"/>
          </w:tcPr>
          <w:p>
            <w:r>
              <w:rPr>
                <w:rFonts w:ascii="Arial" w:hAnsi="Arial"/>
                <w:b w:val="0"/>
                <w:sz w:val="17"/>
              </w:rPr>
              <w:t>Admin</w:t>
            </w:r>
          </w:p>
        </w:tc>
        <w:tc>
          <w:tcPr>
            <w:tcW w:type="dxa" w:w="1950"/>
            <w:vAlign w:val="center"/>
          </w:tcPr>
          <w:p>
            <w:r>
              <w:rPr>
                <w:rFonts w:ascii="Arial" w:hAnsi="Arial"/>
                <w:b w:val="0"/>
                <w:sz w:val="17"/>
              </w:rPr>
              <w:t>Slides 1–5</w:t>
            </w:r>
          </w:p>
        </w:tc>
      </w:tr>
      <w:tr>
        <w:tc>
          <w:tcPr>
            <w:tcW w:type="dxa" w:w="1950"/>
            <w:vAlign w:val="center"/>
          </w:tcPr>
          <w:p>
            <w:r>
              <w:rPr>
                <w:rFonts w:ascii="Arial" w:hAnsi="Arial"/>
                <w:b w:val="0"/>
                <w:sz w:val="17"/>
              </w:rPr>
              <w:t>09:35–11:50</w:t>
            </w:r>
          </w:p>
        </w:tc>
        <w:tc>
          <w:tcPr>
            <w:tcW w:type="dxa" w:w="1950"/>
            <w:vAlign w:val="center"/>
          </w:tcPr>
          <w:p>
            <w:r>
              <w:rPr>
                <w:rFonts w:ascii="Arial" w:hAnsi="Arial"/>
                <w:b w:val="0"/>
                <w:sz w:val="17"/>
              </w:rPr>
              <w:t>2 h 15 min</w:t>
            </w:r>
          </w:p>
        </w:tc>
        <w:tc>
          <w:tcPr>
            <w:tcW w:type="dxa" w:w="1950"/>
            <w:vAlign w:val="center"/>
          </w:tcPr>
          <w:p>
            <w:r>
              <w:rPr>
                <w:rFonts w:ascii="Arial" w:hAnsi="Arial"/>
                <w:b w:val="0"/>
                <w:sz w:val="17"/>
              </w:rPr>
              <w:t>LU1 foundations, policy, research and engineering evidence</w:t>
            </w:r>
          </w:p>
        </w:tc>
        <w:tc>
          <w:tcPr>
            <w:tcW w:type="dxa" w:w="1950"/>
            <w:vAlign w:val="center"/>
          </w:tcPr>
          <w:p>
            <w:r>
              <w:rPr>
                <w:rFonts w:ascii="Arial" w:hAnsi="Arial"/>
                <w:b w:val="0"/>
                <w:sz w:val="17"/>
              </w:rPr>
              <w:t>Lecture, worked analysis, discussion</w:t>
            </w:r>
          </w:p>
        </w:tc>
        <w:tc>
          <w:tcPr>
            <w:tcW w:type="dxa" w:w="1950"/>
            <w:vAlign w:val="center"/>
          </w:tcPr>
          <w:p>
            <w:r>
              <w:rPr>
                <w:rFonts w:ascii="Arial" w:hAnsi="Arial"/>
                <w:b w:val="0"/>
                <w:sz w:val="17"/>
              </w:rPr>
              <w:t>Slides 6–55</w:t>
            </w:r>
          </w:p>
        </w:tc>
      </w:tr>
      <w:tr>
        <w:tc>
          <w:tcPr>
            <w:tcW w:type="dxa" w:w="1950"/>
            <w:vAlign w:val="center"/>
          </w:tcPr>
          <w:p>
            <w:r>
              <w:rPr>
                <w:rFonts w:ascii="Arial" w:hAnsi="Arial"/>
                <w:b w:val="0"/>
                <w:sz w:val="17"/>
              </w:rPr>
              <w:t>11:50–12:20</w:t>
            </w:r>
          </w:p>
        </w:tc>
        <w:tc>
          <w:tcPr>
            <w:tcW w:type="dxa" w:w="1950"/>
            <w:vAlign w:val="center"/>
          </w:tcPr>
          <w:p>
            <w:r>
              <w:rPr>
                <w:rFonts w:ascii="Arial" w:hAnsi="Arial"/>
                <w:b w:val="0"/>
                <w:sz w:val="17"/>
              </w:rPr>
              <w:t>30 min</w:t>
            </w:r>
          </w:p>
        </w:tc>
        <w:tc>
          <w:tcPr>
            <w:tcW w:type="dxa" w:w="1950"/>
            <w:vAlign w:val="center"/>
          </w:tcPr>
          <w:p>
            <w:r>
              <w:rPr>
                <w:rFonts w:ascii="Arial" w:hAnsi="Arial"/>
                <w:b w:val="0"/>
                <w:sz w:val="17"/>
              </w:rPr>
              <w:t>Lunch</w:t>
            </w:r>
          </w:p>
        </w:tc>
        <w:tc>
          <w:tcPr>
            <w:tcW w:type="dxa" w:w="1950"/>
            <w:vAlign w:val="center"/>
          </w:tcPr>
          <w:p>
            <w:r>
              <w:rPr>
                <w:rFonts w:ascii="Arial" w:hAnsi="Arial"/>
                <w:b w:val="0"/>
                <w:sz w:val="17"/>
              </w:rPr>
              <w:t>Break</w:t>
            </w:r>
          </w:p>
        </w:tc>
        <w:tc>
          <w:tcPr>
            <w:tcW w:type="dxa" w:w="1950"/>
            <w:vAlign w:val="center"/>
          </w:tcPr>
          <w:p>
            <w:r>
              <w:rPr>
                <w:rFonts w:ascii="Arial" w:hAnsi="Arial"/>
                <w:b w:val="0"/>
                <w:sz w:val="17"/>
              </w:rPr>
              <w:t>—</w:t>
            </w:r>
          </w:p>
        </w:tc>
      </w:tr>
      <w:tr>
        <w:tc>
          <w:tcPr>
            <w:tcW w:type="dxa" w:w="1950"/>
            <w:vAlign w:val="center"/>
          </w:tcPr>
          <w:p>
            <w:r>
              <w:rPr>
                <w:rFonts w:ascii="Arial" w:hAnsi="Arial"/>
                <w:b w:val="0"/>
                <w:sz w:val="17"/>
              </w:rPr>
              <w:t>12:20–13:15</w:t>
            </w:r>
          </w:p>
        </w:tc>
        <w:tc>
          <w:tcPr>
            <w:tcW w:type="dxa" w:w="1950"/>
            <w:vAlign w:val="center"/>
          </w:tcPr>
          <w:p>
            <w:r>
              <w:rPr>
                <w:rFonts w:ascii="Arial" w:hAnsi="Arial"/>
                <w:b w:val="0"/>
                <w:sz w:val="17"/>
              </w:rPr>
              <w:t>55 min</w:t>
            </w:r>
          </w:p>
        </w:tc>
        <w:tc>
          <w:tcPr>
            <w:tcW w:type="dxa" w:w="1950"/>
            <w:vAlign w:val="center"/>
          </w:tcPr>
          <w:p>
            <w:r>
              <w:rPr>
                <w:rFonts w:ascii="Arial" w:hAnsi="Arial"/>
                <w:b w:val="0"/>
                <w:sz w:val="17"/>
              </w:rPr>
              <w:t>LU1 business case and endorsement controls</w:t>
            </w:r>
          </w:p>
        </w:tc>
        <w:tc>
          <w:tcPr>
            <w:tcW w:type="dxa" w:w="1950"/>
            <w:vAlign w:val="center"/>
          </w:tcPr>
          <w:p>
            <w:r>
              <w:rPr>
                <w:rFonts w:ascii="Arial" w:hAnsi="Arial"/>
                <w:b w:val="0"/>
                <w:sz w:val="17"/>
              </w:rPr>
              <w:t>Case analysis</w:t>
            </w:r>
          </w:p>
        </w:tc>
        <w:tc>
          <w:tcPr>
            <w:tcW w:type="dxa" w:w="1950"/>
            <w:vAlign w:val="center"/>
          </w:tcPr>
          <w:p>
            <w:r>
              <w:rPr>
                <w:rFonts w:ascii="Arial" w:hAnsi="Arial"/>
                <w:b w:val="0"/>
                <w:sz w:val="17"/>
              </w:rPr>
              <w:t>Slides 6–55</w:t>
            </w:r>
          </w:p>
        </w:tc>
      </w:tr>
      <w:tr>
        <w:tc>
          <w:tcPr>
            <w:tcW w:type="dxa" w:w="1950"/>
            <w:vAlign w:val="center"/>
          </w:tcPr>
          <w:p>
            <w:r>
              <w:rPr>
                <w:rFonts w:ascii="Arial" w:hAnsi="Arial"/>
                <w:b w:val="0"/>
                <w:sz w:val="17"/>
              </w:rPr>
              <w:t>13:15–13:45</w:t>
            </w:r>
          </w:p>
        </w:tc>
        <w:tc>
          <w:tcPr>
            <w:tcW w:type="dxa" w:w="1950"/>
            <w:vAlign w:val="center"/>
          </w:tcPr>
          <w:p>
            <w:r>
              <w:rPr>
                <w:rFonts w:ascii="Arial" w:hAnsi="Arial"/>
                <w:b w:val="0"/>
                <w:sz w:val="17"/>
              </w:rPr>
              <w:t>30 min</w:t>
            </w:r>
          </w:p>
        </w:tc>
        <w:tc>
          <w:tcPr>
            <w:tcW w:type="dxa" w:w="1950"/>
            <w:vAlign w:val="center"/>
          </w:tcPr>
          <w:p>
            <w:r>
              <w:rPr>
                <w:rFonts w:ascii="Arial" w:hAnsi="Arial"/>
                <w:b w:val="0"/>
                <w:sz w:val="17"/>
              </w:rPr>
              <w:t>Activity 1: engineering solution option appraisal</w:t>
            </w:r>
          </w:p>
        </w:tc>
        <w:tc>
          <w:tcPr>
            <w:tcW w:type="dxa" w:w="1950"/>
            <w:vAlign w:val="center"/>
          </w:tcPr>
          <w:p>
            <w:r>
              <w:rPr>
                <w:rFonts w:ascii="Arial" w:hAnsi="Arial"/>
                <w:b w:val="0"/>
                <w:sz w:val="17"/>
              </w:rPr>
              <w:t>Group activity</w:t>
            </w:r>
          </w:p>
        </w:tc>
        <w:tc>
          <w:tcPr>
            <w:tcW w:type="dxa" w:w="1950"/>
            <w:vAlign w:val="center"/>
          </w:tcPr>
          <w:p>
            <w:r>
              <w:rPr>
                <w:rFonts w:ascii="Arial" w:hAnsi="Arial"/>
                <w:b w:val="0"/>
                <w:sz w:val="17"/>
              </w:rPr>
              <w:t>Activity 1</w:t>
            </w:r>
          </w:p>
        </w:tc>
      </w:tr>
      <w:tr>
        <w:tc>
          <w:tcPr>
            <w:tcW w:type="dxa" w:w="1950"/>
            <w:vAlign w:val="center"/>
          </w:tcPr>
          <w:p>
            <w:r>
              <w:rPr>
                <w:rFonts w:ascii="Arial" w:hAnsi="Arial"/>
                <w:b w:val="0"/>
                <w:sz w:val="17"/>
              </w:rPr>
              <w:t>13:45–16:35</w:t>
            </w:r>
          </w:p>
        </w:tc>
        <w:tc>
          <w:tcPr>
            <w:tcW w:type="dxa" w:w="1950"/>
            <w:vAlign w:val="center"/>
          </w:tcPr>
          <w:p>
            <w:r>
              <w:rPr>
                <w:rFonts w:ascii="Arial" w:hAnsi="Arial"/>
                <w:b w:val="0"/>
                <w:sz w:val="17"/>
              </w:rPr>
              <w:t>2 h 50 min</w:t>
            </w:r>
          </w:p>
        </w:tc>
        <w:tc>
          <w:tcPr>
            <w:tcW w:type="dxa" w:w="1950"/>
            <w:vAlign w:val="center"/>
          </w:tcPr>
          <w:p>
            <w:r>
              <w:rPr>
                <w:rFonts w:ascii="Arial" w:hAnsi="Arial"/>
                <w:b w:val="0"/>
                <w:sz w:val="17"/>
              </w:rPr>
              <w:t>LU2 ESG strategy, stakeholders, risk and benchmarking</w:t>
            </w:r>
          </w:p>
        </w:tc>
        <w:tc>
          <w:tcPr>
            <w:tcW w:type="dxa" w:w="1950"/>
            <w:vAlign w:val="center"/>
          </w:tcPr>
          <w:p>
            <w:r>
              <w:rPr>
                <w:rFonts w:ascii="Arial" w:hAnsi="Arial"/>
                <w:b w:val="0"/>
                <w:sz w:val="17"/>
              </w:rPr>
              <w:t>Lecture, peer sharing, editable scorecard</w:t>
            </w:r>
          </w:p>
        </w:tc>
        <w:tc>
          <w:tcPr>
            <w:tcW w:type="dxa" w:w="1950"/>
            <w:vAlign w:val="center"/>
          </w:tcPr>
          <w:p>
            <w:r>
              <w:rPr>
                <w:rFonts w:ascii="Arial" w:hAnsi="Arial"/>
                <w:b w:val="0"/>
                <w:sz w:val="17"/>
              </w:rPr>
              <w:t>Slides 56–105</w:t>
            </w:r>
          </w:p>
        </w:tc>
      </w:tr>
      <w:tr>
        <w:tc>
          <w:tcPr>
            <w:tcW w:type="dxa" w:w="1950"/>
            <w:vAlign w:val="center"/>
          </w:tcPr>
          <w:p>
            <w:r>
              <w:rPr>
                <w:rFonts w:ascii="Arial" w:hAnsi="Arial"/>
                <w:b w:val="0"/>
                <w:sz w:val="17"/>
              </w:rPr>
              <w:t>16:35–17:30</w:t>
            </w:r>
          </w:p>
        </w:tc>
        <w:tc>
          <w:tcPr>
            <w:tcW w:type="dxa" w:w="1950"/>
            <w:vAlign w:val="center"/>
          </w:tcPr>
          <w:p>
            <w:r>
              <w:rPr>
                <w:rFonts w:ascii="Arial" w:hAnsi="Arial"/>
                <w:b w:val="0"/>
                <w:sz w:val="17"/>
              </w:rPr>
              <w:t>55 min</w:t>
            </w:r>
          </w:p>
        </w:tc>
        <w:tc>
          <w:tcPr>
            <w:tcW w:type="dxa" w:w="1950"/>
            <w:vAlign w:val="center"/>
          </w:tcPr>
          <w:p>
            <w:r>
              <w:rPr>
                <w:rFonts w:ascii="Arial" w:hAnsi="Arial"/>
                <w:b w:val="0"/>
                <w:sz w:val="17"/>
              </w:rPr>
              <w:t>Activity 2: materiality and strategic scorecard</w:t>
            </w:r>
          </w:p>
        </w:tc>
        <w:tc>
          <w:tcPr>
            <w:tcW w:type="dxa" w:w="1950"/>
            <w:vAlign w:val="center"/>
          </w:tcPr>
          <w:p>
            <w:r>
              <w:rPr>
                <w:rFonts w:ascii="Arial" w:hAnsi="Arial"/>
                <w:b w:val="0"/>
                <w:sz w:val="17"/>
              </w:rPr>
              <w:t>Case activity</w:t>
            </w:r>
          </w:p>
        </w:tc>
        <w:tc>
          <w:tcPr>
            <w:tcW w:type="dxa" w:w="1950"/>
            <w:vAlign w:val="center"/>
          </w:tcPr>
          <w:p>
            <w:r>
              <w:rPr>
                <w:rFonts w:ascii="Arial" w:hAnsi="Arial"/>
                <w:b w:val="0"/>
                <w:sz w:val="17"/>
              </w:rPr>
              <w:t>Activity 2</w:t>
            </w:r>
          </w:p>
        </w:tc>
      </w:tr>
    </w:tbl>
    <w:p>
      <w:pPr>
        <w:pStyle w:val="Heading1"/>
      </w:pPr>
      <w:r>
        <w:t>Day 2 · 9:30am – 5:30pm</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vAlign w:val="center"/>
          </w:tcPr>
          <w:p>
            <w:r>
              <w:rPr>
                <w:rFonts w:ascii="Arial" w:hAnsi="Arial"/>
                <w:b/>
                <w:sz w:val="18"/>
              </w:rPr>
              <w:t>Time</w:t>
            </w:r>
          </w:p>
        </w:tc>
        <w:tc>
          <w:tcPr>
            <w:tcW w:type="dxa" w:w="1950"/>
            <w:vAlign w:val="center"/>
          </w:tcPr>
          <w:p>
            <w:r>
              <w:rPr>
                <w:rFonts w:ascii="Arial" w:hAnsi="Arial"/>
                <w:b/>
                <w:sz w:val="18"/>
              </w:rPr>
              <w:t>Duration</w:t>
            </w:r>
          </w:p>
        </w:tc>
        <w:tc>
          <w:tcPr>
            <w:tcW w:type="dxa" w:w="1950"/>
            <w:vAlign w:val="center"/>
          </w:tcPr>
          <w:p>
            <w:r>
              <w:rPr>
                <w:rFonts w:ascii="Arial" w:hAnsi="Arial"/>
                <w:b/>
                <w:sz w:val="18"/>
              </w:rPr>
              <w:t>Topic / mapping</w:t>
            </w:r>
          </w:p>
        </w:tc>
        <w:tc>
          <w:tcPr>
            <w:tcW w:type="dxa" w:w="1950"/>
            <w:vAlign w:val="center"/>
          </w:tcPr>
          <w:p>
            <w:r>
              <w:rPr>
                <w:rFonts w:ascii="Arial" w:hAnsi="Arial"/>
                <w:b/>
                <w:sz w:val="18"/>
              </w:rPr>
              <w:t>Method</w:t>
            </w:r>
          </w:p>
        </w:tc>
        <w:tc>
          <w:tcPr>
            <w:tcW w:type="dxa" w:w="1950"/>
            <w:vAlign w:val="center"/>
          </w:tcPr>
          <w:p>
            <w:r>
              <w:rPr>
                <w:rFonts w:ascii="Arial" w:hAnsi="Arial"/>
                <w:b/>
                <w:sz w:val="18"/>
              </w:rPr>
              <w:t>Resource / slide</w:t>
            </w:r>
          </w:p>
        </w:tc>
      </w:tr>
      <w:tr>
        <w:tc>
          <w:tcPr>
            <w:tcW w:type="dxa" w:w="1950"/>
            <w:vAlign w:val="center"/>
          </w:tcPr>
          <w:p>
            <w:r>
              <w:rPr>
                <w:rFonts w:ascii="Arial" w:hAnsi="Arial"/>
                <w:b w:val="0"/>
                <w:sz w:val="17"/>
              </w:rPr>
              <w:t>09:30–09:35</w:t>
            </w:r>
          </w:p>
        </w:tc>
        <w:tc>
          <w:tcPr>
            <w:tcW w:type="dxa" w:w="1950"/>
            <w:vAlign w:val="center"/>
          </w:tcPr>
          <w:p>
            <w:r>
              <w:rPr>
                <w:rFonts w:ascii="Arial" w:hAnsi="Arial"/>
                <w:b w:val="0"/>
                <w:sz w:val="17"/>
              </w:rPr>
              <w:t>5 min</w:t>
            </w:r>
          </w:p>
        </w:tc>
        <w:tc>
          <w:tcPr>
            <w:tcW w:type="dxa" w:w="1950"/>
            <w:vAlign w:val="center"/>
          </w:tcPr>
          <w:p>
            <w:r>
              <w:rPr>
                <w:rFonts w:ascii="Arial" w:hAnsi="Arial"/>
                <w:b w:val="0"/>
                <w:sz w:val="17"/>
              </w:rPr>
              <w:t>Day 1 recap and opening</w:t>
            </w:r>
          </w:p>
        </w:tc>
        <w:tc>
          <w:tcPr>
            <w:tcW w:type="dxa" w:w="1950"/>
            <w:vAlign w:val="center"/>
          </w:tcPr>
          <w:p>
            <w:r>
              <w:rPr>
                <w:rFonts w:ascii="Arial" w:hAnsi="Arial"/>
                <w:b w:val="0"/>
                <w:sz w:val="17"/>
              </w:rPr>
              <w:t>Admin</w:t>
            </w:r>
          </w:p>
        </w:tc>
        <w:tc>
          <w:tcPr>
            <w:tcW w:type="dxa" w:w="1950"/>
            <w:vAlign w:val="center"/>
          </w:tcPr>
          <w:p>
            <w:r>
              <w:rPr>
                <w:rFonts w:ascii="Arial" w:hAnsi="Arial"/>
                <w:b w:val="0"/>
                <w:sz w:val="17"/>
              </w:rPr>
              <w:t>—</w:t>
            </w:r>
          </w:p>
        </w:tc>
      </w:tr>
      <w:tr>
        <w:tc>
          <w:tcPr>
            <w:tcW w:type="dxa" w:w="1950"/>
            <w:vAlign w:val="center"/>
          </w:tcPr>
          <w:p>
            <w:r>
              <w:rPr>
                <w:rFonts w:ascii="Arial" w:hAnsi="Arial"/>
                <w:b w:val="0"/>
                <w:sz w:val="17"/>
              </w:rPr>
              <w:t>09:35–12:30</w:t>
            </w:r>
          </w:p>
        </w:tc>
        <w:tc>
          <w:tcPr>
            <w:tcW w:type="dxa" w:w="1950"/>
            <w:vAlign w:val="center"/>
          </w:tcPr>
          <w:p>
            <w:r>
              <w:rPr>
                <w:rFonts w:ascii="Arial" w:hAnsi="Arial"/>
                <w:b w:val="0"/>
                <w:sz w:val="17"/>
              </w:rPr>
              <w:t>2 h 55 min</w:t>
            </w:r>
          </w:p>
        </w:tc>
        <w:tc>
          <w:tcPr>
            <w:tcW w:type="dxa" w:w="1950"/>
            <w:vAlign w:val="center"/>
          </w:tcPr>
          <w:p>
            <w:r>
              <w:rPr>
                <w:rFonts w:ascii="Arial" w:hAnsi="Arial"/>
                <w:b w:val="0"/>
                <w:sz w:val="17"/>
              </w:rPr>
              <w:t>LU3 reporting, evidence, assurance and compliance</w:t>
            </w:r>
          </w:p>
        </w:tc>
        <w:tc>
          <w:tcPr>
            <w:tcW w:type="dxa" w:w="1950"/>
            <w:vAlign w:val="center"/>
          </w:tcPr>
          <w:p>
            <w:r>
              <w:rPr>
                <w:rFonts w:ascii="Arial" w:hAnsi="Arial"/>
                <w:b w:val="0"/>
                <w:sz w:val="17"/>
              </w:rPr>
              <w:t>Lecture, crosswalk, worked controls</w:t>
            </w:r>
          </w:p>
        </w:tc>
        <w:tc>
          <w:tcPr>
            <w:tcW w:type="dxa" w:w="1950"/>
            <w:vAlign w:val="center"/>
          </w:tcPr>
          <w:p>
            <w:r>
              <w:rPr>
                <w:rFonts w:ascii="Arial" w:hAnsi="Arial"/>
                <w:b w:val="0"/>
                <w:sz w:val="17"/>
              </w:rPr>
              <w:t>Slides 106–155</w:t>
            </w:r>
          </w:p>
        </w:tc>
      </w:tr>
      <w:tr>
        <w:tc>
          <w:tcPr>
            <w:tcW w:type="dxa" w:w="1950"/>
            <w:vAlign w:val="center"/>
          </w:tcPr>
          <w:p>
            <w:r>
              <w:rPr>
                <w:rFonts w:ascii="Arial" w:hAnsi="Arial"/>
                <w:b w:val="0"/>
                <w:sz w:val="17"/>
              </w:rPr>
              <w:t>12:30–13:00</w:t>
            </w:r>
          </w:p>
        </w:tc>
        <w:tc>
          <w:tcPr>
            <w:tcW w:type="dxa" w:w="1950"/>
            <w:vAlign w:val="center"/>
          </w:tcPr>
          <w:p>
            <w:r>
              <w:rPr>
                <w:rFonts w:ascii="Arial" w:hAnsi="Arial"/>
                <w:b w:val="0"/>
                <w:sz w:val="17"/>
              </w:rPr>
              <w:t>30 min</w:t>
            </w:r>
          </w:p>
        </w:tc>
        <w:tc>
          <w:tcPr>
            <w:tcW w:type="dxa" w:w="1950"/>
            <w:vAlign w:val="center"/>
          </w:tcPr>
          <w:p>
            <w:r>
              <w:rPr>
                <w:rFonts w:ascii="Arial" w:hAnsi="Arial"/>
                <w:b w:val="0"/>
                <w:sz w:val="17"/>
              </w:rPr>
              <w:t>Lunch</w:t>
            </w:r>
          </w:p>
        </w:tc>
        <w:tc>
          <w:tcPr>
            <w:tcW w:type="dxa" w:w="1950"/>
            <w:vAlign w:val="center"/>
          </w:tcPr>
          <w:p>
            <w:r>
              <w:rPr>
                <w:rFonts w:ascii="Arial" w:hAnsi="Arial"/>
                <w:b w:val="0"/>
                <w:sz w:val="17"/>
              </w:rPr>
              <w:t>Break</w:t>
            </w:r>
          </w:p>
        </w:tc>
        <w:tc>
          <w:tcPr>
            <w:tcW w:type="dxa" w:w="1950"/>
            <w:vAlign w:val="center"/>
          </w:tcPr>
          <w:p>
            <w:r>
              <w:rPr>
                <w:rFonts w:ascii="Arial" w:hAnsi="Arial"/>
                <w:b w:val="0"/>
                <w:sz w:val="17"/>
              </w:rPr>
              <w:t>—</w:t>
            </w:r>
          </w:p>
        </w:tc>
      </w:tr>
      <w:tr>
        <w:tc>
          <w:tcPr>
            <w:tcW w:type="dxa" w:w="1950"/>
            <w:vAlign w:val="center"/>
          </w:tcPr>
          <w:p>
            <w:r>
              <w:rPr>
                <w:rFonts w:ascii="Arial" w:hAnsi="Arial"/>
                <w:b w:val="0"/>
                <w:sz w:val="17"/>
              </w:rPr>
              <w:t>13:00–13:45</w:t>
            </w:r>
          </w:p>
        </w:tc>
        <w:tc>
          <w:tcPr>
            <w:tcW w:type="dxa" w:w="1950"/>
            <w:vAlign w:val="center"/>
          </w:tcPr>
          <w:p>
            <w:r>
              <w:rPr>
                <w:rFonts w:ascii="Arial" w:hAnsi="Arial"/>
                <w:b w:val="0"/>
                <w:sz w:val="17"/>
              </w:rPr>
              <w:t>45 min</w:t>
            </w:r>
          </w:p>
        </w:tc>
        <w:tc>
          <w:tcPr>
            <w:tcW w:type="dxa" w:w="1950"/>
            <w:vAlign w:val="center"/>
          </w:tcPr>
          <w:p>
            <w:r>
              <w:rPr>
                <w:rFonts w:ascii="Arial" w:hAnsi="Arial"/>
                <w:b w:val="0"/>
                <w:sz w:val="17"/>
              </w:rPr>
              <w:t>Activity 3: disclosure control and compliance crosswalk</w:t>
            </w:r>
          </w:p>
        </w:tc>
        <w:tc>
          <w:tcPr>
            <w:tcW w:type="dxa" w:w="1950"/>
            <w:vAlign w:val="center"/>
          </w:tcPr>
          <w:p>
            <w:r>
              <w:rPr>
                <w:rFonts w:ascii="Arial" w:hAnsi="Arial"/>
                <w:b w:val="0"/>
                <w:sz w:val="17"/>
              </w:rPr>
              <w:t>Case activity</w:t>
            </w:r>
          </w:p>
        </w:tc>
        <w:tc>
          <w:tcPr>
            <w:tcW w:type="dxa" w:w="1950"/>
            <w:vAlign w:val="center"/>
          </w:tcPr>
          <w:p>
            <w:r>
              <w:rPr>
                <w:rFonts w:ascii="Arial" w:hAnsi="Arial"/>
                <w:b w:val="0"/>
                <w:sz w:val="17"/>
              </w:rPr>
              <w:t>Activity 3</w:t>
            </w:r>
          </w:p>
        </w:tc>
      </w:tr>
      <w:tr>
        <w:tc>
          <w:tcPr>
            <w:tcW w:type="dxa" w:w="1950"/>
            <w:vAlign w:val="center"/>
          </w:tcPr>
          <w:p>
            <w:r>
              <w:rPr>
                <w:rFonts w:ascii="Arial" w:hAnsi="Arial"/>
                <w:b w:val="0"/>
                <w:sz w:val="17"/>
              </w:rPr>
              <w:t>13:45–15:50</w:t>
            </w:r>
          </w:p>
        </w:tc>
        <w:tc>
          <w:tcPr>
            <w:tcW w:type="dxa" w:w="1950"/>
            <w:vAlign w:val="center"/>
          </w:tcPr>
          <w:p>
            <w:r>
              <w:rPr>
                <w:rFonts w:ascii="Arial" w:hAnsi="Arial"/>
                <w:b w:val="0"/>
                <w:sz w:val="17"/>
              </w:rPr>
              <w:t>2 h 05 min</w:t>
            </w:r>
          </w:p>
        </w:tc>
        <w:tc>
          <w:tcPr>
            <w:tcW w:type="dxa" w:w="1950"/>
            <w:vAlign w:val="center"/>
          </w:tcPr>
          <w:p>
            <w:r>
              <w:rPr>
                <w:rFonts w:ascii="Arial" w:hAnsi="Arial"/>
                <w:b w:val="0"/>
                <w:sz w:val="17"/>
              </w:rPr>
              <w:t>LU4 circular economy and supply chains</w:t>
            </w:r>
          </w:p>
        </w:tc>
        <w:tc>
          <w:tcPr>
            <w:tcW w:type="dxa" w:w="1950"/>
            <w:vAlign w:val="center"/>
          </w:tcPr>
          <w:p>
            <w:r>
              <w:rPr>
                <w:rFonts w:ascii="Arial" w:hAnsi="Arial"/>
                <w:b w:val="0"/>
                <w:sz w:val="17"/>
              </w:rPr>
              <w:t>Lecture, material flow analysis</w:t>
            </w:r>
          </w:p>
        </w:tc>
        <w:tc>
          <w:tcPr>
            <w:tcW w:type="dxa" w:w="1950"/>
            <w:vAlign w:val="center"/>
          </w:tcPr>
          <w:p>
            <w:r>
              <w:rPr>
                <w:rFonts w:ascii="Arial" w:hAnsi="Arial"/>
                <w:b w:val="0"/>
                <w:sz w:val="17"/>
              </w:rPr>
              <w:t>Slides 156–185</w:t>
            </w:r>
          </w:p>
        </w:tc>
      </w:tr>
      <w:tr>
        <w:tc>
          <w:tcPr>
            <w:tcW w:type="dxa" w:w="1950"/>
            <w:vAlign w:val="center"/>
          </w:tcPr>
          <w:p>
            <w:r>
              <w:rPr>
                <w:rFonts w:ascii="Arial" w:hAnsi="Arial"/>
                <w:b w:val="0"/>
                <w:sz w:val="17"/>
              </w:rPr>
              <w:t>15:50–17:30</w:t>
            </w:r>
          </w:p>
        </w:tc>
        <w:tc>
          <w:tcPr>
            <w:tcW w:type="dxa" w:w="1950"/>
            <w:vAlign w:val="center"/>
          </w:tcPr>
          <w:p>
            <w:r>
              <w:rPr>
                <w:rFonts w:ascii="Arial" w:hAnsi="Arial"/>
                <w:b w:val="0"/>
                <w:sz w:val="17"/>
              </w:rPr>
              <w:t>1 h 40 min</w:t>
            </w:r>
          </w:p>
        </w:tc>
        <w:tc>
          <w:tcPr>
            <w:tcW w:type="dxa" w:w="1950"/>
            <w:vAlign w:val="center"/>
          </w:tcPr>
          <w:p>
            <w:r>
              <w:rPr>
                <w:rFonts w:ascii="Arial" w:hAnsi="Arial"/>
                <w:b w:val="0"/>
                <w:sz w:val="17"/>
              </w:rPr>
              <w:t>LU4 carbon portfolio and competitive strategy</w:t>
            </w:r>
          </w:p>
        </w:tc>
        <w:tc>
          <w:tcPr>
            <w:tcW w:type="dxa" w:w="1950"/>
            <w:vAlign w:val="center"/>
          </w:tcPr>
          <w:p>
            <w:r>
              <w:rPr>
                <w:rFonts w:ascii="Arial" w:hAnsi="Arial"/>
                <w:b w:val="0"/>
                <w:sz w:val="17"/>
              </w:rPr>
              <w:t>Lecture, editable pathway chart, discussion</w:t>
            </w:r>
          </w:p>
        </w:tc>
        <w:tc>
          <w:tcPr>
            <w:tcW w:type="dxa" w:w="1950"/>
            <w:vAlign w:val="center"/>
          </w:tcPr>
          <w:p>
            <w:r>
              <w:rPr>
                <w:rFonts w:ascii="Arial" w:hAnsi="Arial"/>
                <w:b w:val="0"/>
                <w:sz w:val="17"/>
              </w:rPr>
              <w:t>Slides 186–205</w:t>
            </w:r>
          </w:p>
        </w:tc>
      </w:tr>
    </w:tbl>
    <w:p>
      <w:pPr>
        <w:pStyle w:val="Heading1"/>
      </w:pPr>
      <w:r>
        <w:t>Facilitation notes</w:t>
      </w:r>
    </w:p>
    <w:p>
      <w:r>
        <w:t>Slides show models, evidence, worked calculations and decision controls. Detailed procedures stay in the Learner Guide and activity folders. During debrief, require learners to identify the evidence boundary, calculation rule, decision threshold, control owner and residual uncertainty.</w:t>
      </w:r>
    </w:p>
    <w:sectPr w:rsidR="00FC693F" w:rsidRPr="0006063C" w:rsidSect="00034616">
      <w:footerReference w:type="default" r:id="rId9"/>
      <w:headerReference w:type="default" r:id="rId10"/>
      <w:footerReference w:type="first" r:id="rId11"/>
      <w:footerReference w:type="even" r:id="rId12"/>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Tertiary Infotech Academy Pte Ltd. | C797 | Lesson Plan | Page </w:t>
    </w:r>
    <w:r>
      <w:fldChar w:fldCharType="begin"/>
      <w:instrText xml:space="preserve">PAGE</w:instrText>
      <w:fldChar w:fldCharType="end"/>
    </w:r>
    <w:r>
      <w:t xml:space="preserve"> of </w:t>
    </w:r>
    <w: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53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534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4534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LP-Sustainability Reporting Masterclass (C797)</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