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Lab 04 — Adapt and review the flyer variants</w:t>
      </w:r>
    </w:p>
    <w:p>
      <w:r>
        <w:t>C818 · Topic 2 · 55 minutes · Version 1.0</w:t>
      </w:r>
    </w:p>
    <w:p>
      <w:pPr>
        <w:pStyle w:val="Heading2"/>
      </w:pPr>
      <w:r>
        <w:t>Goal</w:t>
      </w:r>
    </w:p>
    <w:p>
      <w:r>
        <w:t>Produce square and story derivatives that retain the offer and remain readable.</w:t>
      </w:r>
    </w:p>
    <w:p>
      <w:pPr>
        <w:pStyle w:val="Heading2"/>
      </w:pPr>
      <w:r>
        <w:t>What you’ll build</w:t>
      </w:r>
    </w:p>
    <w:p>
      <w:r>
        <w:t>creative/sourdough/flyer-square.pptx, flyer-story.pptx, their PDF or PNG proofs, variants-proof.md and design-review.csv.</w:t>
      </w:r>
    </w:p>
    <w:p>
      <w:pPr>
        <w:pStyle w:val="Heading2"/>
      </w:pPr>
      <w:r>
        <w:t>Prerequisites</w:t>
      </w:r>
    </w:p>
    <w:p>
      <w:r>
        <w:t>Lab 3 A5 source and text proof. A layout editor and a browser or image viewer.</w:t>
      </w:r>
    </w:p>
    <w:p>
      <w:pPr>
        <w:pStyle w:val="Heading2"/>
      </w:pPr>
      <w:r>
        <w:t>Steps</w:t>
      </w:r>
    </w:p>
    <w:p>
      <w:pPr>
        <w:pStyle w:val="Heading3"/>
      </w:pPr>
      <w:r>
        <w:t>1. Inspect the A5 proof</w:t>
      </w:r>
    </w:p>
    <w:p>
      <w:r>
        <w:t>Open flyer-a5.pdf and flyer-copy.md. List the facts that must survive in each derivative: course identity, duration, fee, schedule, campus and one CTA. If Lab 3 stalled, use its checkpoint source.</w:t>
      </w:r>
    </w:p>
    <w:p>
      <w:pPr>
        <w:pStyle w:val="Heading3"/>
      </w:pPr>
      <w:r>
        <w:t>2. Create separate canvases</w:t>
      </w:r>
    </w:p>
    <w:p>
      <w:r>
        <w:t>In your layout editor create a 1:1 square canvas and a 9:16 story canvas. For editable PowerPoint use custom sizes 20 × 20 cm and 18 × 32 cm. Export raster images at 1080 × 1080 and 1080 × 1920 when the tool supports exact pixels; otherwise use PDFs and record their aspect ratio.</w:t>
      </w:r>
    </w:p>
    <w:p>
      <w:pPr>
        <w:pStyle w:val="Heading3"/>
      </w:pPr>
      <w:r>
        <w:t>3. Request adaptation</w:t>
      </w:r>
    </w:p>
    <w:p>
      <w:r>
        <w:t>Attach the A5 source or PDF, copy and ledger to Work, then paste prompts/task.txt. Ask for recomposition rather than cropping. Keep the academy colour and type rules.</w:t>
      </w:r>
    </w:p>
    <w:p>
      <w:pPr>
        <w:pStyle w:val="Heading3"/>
      </w:pPr>
      <w:r>
        <w:t>4. Recompose the square</w:t>
      </w:r>
    </w:p>
    <w:p>
      <w:r>
        <w:t>Put the headline and course title near the top, use a short details block, and give the CTA its own region. Do not shrink the whole A5 page to a square screenshot.</w:t>
      </w:r>
    </w:p>
    <w:p>
      <w:pPr>
        <w:pStyle w:val="Heading3"/>
      </w:pPr>
      <w:r>
        <w:t>5. Recompose the story</w:t>
      </w:r>
    </w:p>
    <w:p>
      <w:r>
        <w:t>Keep key information clear of the top and bottom interface zones. Use a conservative 10 percent top and bottom content margin for this classroom brief. Preserve a readable course identity and CTA.</w:t>
      </w:r>
    </w:p>
    <w:p>
      <w:pPr>
        <w:pStyle w:val="Heading3"/>
      </w:pPr>
      <w:r>
        <w:t>6. Inspect at practical sizes</w:t>
      </w:r>
    </w:p>
    <w:p>
      <w:r>
        <w:t>Open the square at thumbnail size and the story at a phone-width view. Read every factual line. Check text contrast; for normal screen text use 4.5:1 and for qualifying large text use 3:1 as the minimum check. Record the colour pair and tool/method used in design-review.csv.</w:t>
      </w:r>
    </w:p>
    <w:p>
      <w:pPr>
        <w:pStyle w:val="Heading3"/>
      </w:pPr>
      <w:r>
        <w:t>7. Proof both variants</w:t>
      </w:r>
    </w:p>
    <w:p>
      <w:r>
        <w:t>Transcribe all visible text for each format into variants-proof.md. Compare it with the A5 proof and selected-course.json. Record exact file names and any corrected line.</w:t>
      </w:r>
    </w:p>
    <w:p>
      <w:pPr>
        <w:pStyle w:val="Heading3"/>
      </w:pPr>
      <w:r>
        <w:t>8. Export and hand off</w:t>
      </w:r>
    </w:p>
    <w:p>
      <w:r>
        <w:t>Save editable sources and proofs in creative/sourdough. Fill assets/design-review-template.csv with at least six concrete checks and a status for each. Resolve every factual defect before proceeding to Lab 5.</w:t>
      </w:r>
    </w:p>
    <w:p>
      <w:pPr>
        <w:pStyle w:val="Heading2"/>
      </w:pPr>
      <w:r>
        <w:t>Task prompt</w:t>
      </w:r>
    </w:p>
    <w:p>
      <w:r>
        <w:t>Copy prompts/task.txt into the Work task. Review the plan before authorising production.</w:t>
      </w:r>
    </w:p>
    <w:p>
      <w:pPr>
        <w:spacing w:after="40"/>
      </w:pPr>
      <w:r>
        <w:rPr>
          <w:rFonts w:ascii="Consolas" w:hAnsi="Consolas"/>
          <w:sz w:val="18"/>
        </w:rPr>
        <w:t>Adapt the reviewed A5 flyer to a square and 9:16 story format. Recompose the content for each format; preserve the BAK-101 identity, source-checked offer and academy brand. Keep one CTA and readable classroom draft wording. Return editable sources when supported, PDF or PNG proofs, a full text transcription for both variants and a review log covering source fidelity, crop, hierarchy and readability. Use no fake QR code, new offer or live booking promise.</w:t>
      </w:r>
    </w:p>
    <w:p>
      <w:pPr>
        <w:pStyle w:val="Heading2"/>
      </w:pPr>
      <w:r>
        <w:t>Test it</w:t>
      </w:r>
    </w:p>
    <w:p>
      <w:pPr>
        <w:pStyle w:val="ListBullet"/>
      </w:pPr>
      <w:r>
        <w:t>Square and story have the requested aspect ratios, with essential text visible.</w:t>
      </w:r>
    </w:p>
    <w:p>
      <w:pPr>
        <w:pStyle w:val="ListBullet"/>
      </w:pPr>
      <w:r>
        <w:t>Both variants match BAK-101’s title, S$680 fee and four-week duration.</w:t>
      </w:r>
    </w:p>
    <w:p>
      <w:pPr>
        <w:pStyle w:val="ListBullet"/>
      </w:pPr>
      <w:r>
        <w:t>The story’s key text is outside the classroom top/bottom margin zones.</w:t>
      </w:r>
    </w:p>
    <w:p>
      <w:pPr>
        <w:pStyle w:val="ListBullet"/>
      </w:pPr>
      <w:r>
        <w:t>design-review.csv records at least six reproducible checks and corrections.</w:t>
      </w:r>
    </w:p>
    <w:p>
      <w:pPr>
        <w:pStyle w:val="Heading2"/>
      </w:pPr>
      <w:r>
        <w:t>Troubleshooting</w:t>
      </w:r>
    </w:p>
    <w:p>
      <w:r>
        <w:t>The story crops the CTA: Reposition the CTA within the centre content area; do not rely on automatic fit.</w:t>
      </w:r>
    </w:p>
    <w:p>
      <w:r>
        <w:t>Exported pixels differ: Use a supported image export or keep an aspect-correct PDF and note the pixel-export limitation.</w:t>
      </w:r>
    </w:p>
    <w:p>
      <w:r>
        <w:t>A variant changes a fact: Copy the approved factual text block again, export and recheck the entire transcription.</w:t>
      </w:r>
    </w:p>
    <w:p>
      <w:pPr>
        <w:pStyle w:val="Heading2"/>
      </w:pPr>
      <w:r>
        <w:t>Challenge</w:t>
      </w:r>
    </w:p>
    <w:p>
      <w:r>
        <w:t>Create an accessible text-only companion that contains the offer and action for someone who cannot view the graphic.</w:t>
      </w:r>
    </w:p>
    <w:p>
      <w:pPr>
        <w:pStyle w:val="Heading2"/>
      </w:pPr>
      <w:r>
        <w:t>Reflection</w:t>
      </w:r>
    </w:p>
    <w:p>
      <w:r>
        <w:t>Which elements needed recomposition rather than simple resizing?</w:t>
      </w:r>
    </w:p>
    <w:p>
      <w:pPr>
        <w:pStyle w:val="Heading2"/>
      </w:pPr>
      <w:r>
        <w:t>Checkpoint and rejoin</w:t>
      </w:r>
    </w:p>
    <w:p>
      <w:r>
        <w:t>The checkpoints/ folder contains supplied classroom sample files. Copy only the files needed into your working campaign, identify them as samples and verify them against the sources before continuing. The sample is a recovery route, not a substitute for reviewing your own work.</w:t>
      </w:r>
    </w:p>
    <w:p>
      <w:r>
        <w:t>C818 · Tertiary Infotech Academy Pte Ltd · Classroom drafts only.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