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594360" cy="594360"/>
                    </a:xfrm>
                    <a:prstGeom prst="rect"/>
                  </pic:spPr>
                </pic:pic>
              </a:graphicData>
            </a:graphic>
          </wp:inline>
        </w:drawing>
      </w:r>
      <w:r>
        <w:rPr>
          <w:b/>
        </w:rPr>
        <w:br/>
        <w:t>TERTIARY INFOTECH ACADEMY • NON-WSQ COURSE</w:t>
        <w:br/>
      </w:r>
      <w:r>
        <w:rPr>
          <w:b/>
        </w:rPr>
        <w:br/>
        <w:t>LESSON PLAN</w:t>
        <w:br/>
      </w:r>
      <w:r>
        <w:rPr>
          <w:b/>
          <w:color w:val="0C2340"/>
          <w:sz w:val="56"/>
        </w:rPr>
        <w:br/>
        <w:t>Microsoft Copilot for HR</w:t>
      </w:r>
      <w:r>
        <w:br/>
        <w:br/>
        <w:t>Course Code: C820</w:t>
        <w:br/>
        <w:t>2 days / 15 hours</w:t>
        <w:br/>
        <w:t>UEN 201200696W</w:t>
        <w:br/>
        <w:br/>
        <w:t>Version 1.0 • 4 October 2026</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Version</w:t>
            </w:r>
          </w:p>
        </w:tc>
        <w:tc>
          <w:tcPr>
            <w:tcW w:type="dxa" w:w="3360"/>
            <w:shd w:val="clear" w:fill="0C2340"/>
          </w:tcPr>
          <w:p>
            <w:r>
              <w:rPr>
                <w:b/>
                <w:color w:val="FFFFFF"/>
              </w:rPr>
              <w:t>Date</w:t>
            </w:r>
          </w:p>
        </w:tc>
        <w:tc>
          <w:tcPr>
            <w:tcW w:type="dxa" w:w="3360"/>
            <w:shd w:val="clear" w:fill="0C2340"/>
          </w:tcPr>
          <w:p>
            <w:r>
              <w:rPr>
                <w:b/>
                <w:color w:val="FFFFFF"/>
              </w:rPr>
              <w:t>Summary</w:t>
            </w:r>
          </w:p>
        </w:tc>
      </w:tr>
      <w:tr>
        <w:tc>
          <w:tcPr>
            <w:tcW w:type="dxa" w:w="3360"/>
            <w:vAlign w:val="center"/>
          </w:tcPr>
          <w:p>
            <w:r>
              <w:t>1.0</w:t>
            </w:r>
          </w:p>
        </w:tc>
        <w:tc>
          <w:tcPr>
            <w:tcW w:type="dxa" w:w="3360"/>
            <w:vAlign w:val="center"/>
          </w:tcPr>
          <w:p>
            <w:r>
              <w:t>4 October 2026</w:t>
            </w:r>
          </w:p>
        </w:tc>
        <w:tc>
          <w:tcPr>
            <w:tcW w:type="dxa" w:w="3360"/>
            <w:vAlign w:val="center"/>
          </w:tcPr>
          <w:p>
            <w:r>
              <w:t>Non-WSQ edition of Microsoft Copilot for HR (C820): 194 slides, LG, LP and 12 labs; 9:30am - 5:30pm schedule, 7.5 instructional hours per day.</w:t>
            </w:r>
          </w:p>
        </w:tc>
      </w:tr>
    </w:tbl>
    <w:p>
      <w:r>
        <w:t>Version numbers apply to this generated courseware release.</w:t>
      </w:r>
    </w:p>
    <w:p>
      <w:pPr>
        <w:pStyle w:val="Heading1"/>
      </w:pPr>
      <w:r>
        <w:t>Contents</w:t>
      </w:r>
    </w:p>
    <w:p>
      <w:fldSimple w:instr="TOC \o &quot;1-2&quot; \h \z \u"/>
    </w:p>
    <w:p>
      <w:pPr>
        <w:pStyle w:val="Heading1"/>
      </w:pPr>
      <w:r>
        <w:t>Course and delivery overview</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Microsoft Copilot for HR</w:t>
            </w:r>
          </w:p>
        </w:tc>
      </w:tr>
      <w:tr>
        <w:tc>
          <w:tcPr>
            <w:tcW w:type="dxa" w:w="5040"/>
            <w:vAlign w:val="center"/>
          </w:tcPr>
          <w:p>
            <w:r>
              <w:t>Code</w:t>
            </w:r>
          </w:p>
        </w:tc>
        <w:tc>
          <w:tcPr>
            <w:tcW w:type="dxa" w:w="5040"/>
            <w:vAlign w:val="center"/>
          </w:tcPr>
          <w:p>
            <w:r>
              <w:t>C820</w:t>
            </w:r>
          </w:p>
        </w:tc>
      </w:tr>
      <w:tr>
        <w:tc>
          <w:tcPr>
            <w:tcW w:type="dxa" w:w="5040"/>
            <w:vAlign w:val="center"/>
          </w:tcPr>
          <w:p>
            <w:r>
              <w:t>Duration</w:t>
            </w:r>
          </w:p>
        </w:tc>
        <w:tc>
          <w:tcPr>
            <w:tcW w:type="dxa" w:w="5040"/>
            <w:vAlign w:val="center"/>
          </w:tcPr>
          <w:p>
            <w:r>
              <w:t>2 days, 09:30–17:30 daily; 15 instructional hours excluding a 30-minute lunch, including two facilitated reflection intervals per day</w:t>
            </w:r>
          </w:p>
        </w:tc>
      </w:tr>
      <w:tr>
        <w:tc>
          <w:tcPr>
            <w:tcW w:type="dxa" w:w="5040"/>
            <w:vAlign w:val="center"/>
          </w:tcPr>
          <w:p>
            <w:r>
              <w:t>Mode</w:t>
            </w:r>
          </w:p>
        </w:tc>
        <w:tc>
          <w:tcPr>
            <w:tcW w:type="dxa" w:w="5040"/>
            <w:vAlign w:val="center"/>
          </w:tcPr>
          <w:p>
            <w:r>
              <w:t>Facilitated classroom or synchronous virtual delivery</w:t>
            </w:r>
          </w:p>
        </w:tc>
      </w:tr>
    </w:tbl>
    <w:p>
      <w:pPr>
        <w:pStyle w:val="Heading1"/>
      </w:pPr>
      <w:r>
        <w:t>Learning outcomes and evidence</w:t>
      </w:r>
    </w:p>
    <w:p>
      <w:r>
        <w:t>LO1: Compare how generative and agentic AI reshape HR operating models versus conventional HR delivery.</w:t>
      </w:r>
    </w:p>
    <w:p>
      <w:r>
        <w:t>LO2: Analyse where Microsoft 365 Copilot and AI agents can improve end-to-end HR processes and employee experience.</w:t>
      </w:r>
    </w:p>
    <w:p>
      <w:r>
        <w:t>LO3: Conduct feasibility analysis and design a governed implementation for an HR generative-AI or agentic-AI use case.</w:t>
      </w:r>
    </w:p>
    <w:p>
      <w:r>
        <w:t>LO4: Apply legal, ethical, privacy, security, fairness and human-oversight controls to AI-enabled HR work.</w:t>
      </w:r>
    </w:p>
    <w:p>
      <w:r>
        <w:t>Labs 1–3, 4–6 and 7–9 are parallel team pods: each learner completes one lab in class and shares the result with peers; the other two are self-paced. Labs 10–11 are self-paced extensions. Lab 12 is a 60-minute in-class decision sprint using supplied evidence; full build and regression testing continue after class.</w:t>
      </w:r>
    </w:p>
    <w:p>
      <w:pPr>
        <w:pStyle w:val="Heading1"/>
      </w:pPr>
      <w:r>
        <w:t>Facilitation principles</w:t>
      </w:r>
    </w:p>
    <w:p>
      <w:pPr>
        <w:pStyle w:val="ListBullet"/>
      </w:pPr>
      <w:r>
        <w:t>Open with the current HR pain points and return throughout to the three-part value message: less administration, higher productivity and more strategic HR capacity.</w:t>
      </w:r>
    </w:p>
    <w:p>
      <w:pPr>
        <w:pStyle w:val="ListBullet"/>
      </w:pPr>
      <w:r>
        <w:t>Use the slides for visual explanation; use the Learner Guide for procedures.</w:t>
      </w:r>
    </w:p>
    <w:p>
      <w:pPr>
        <w:pStyle w:val="ListBullet"/>
      </w:pPr>
      <w:r>
        <w:t>Demonstrate only with synthetic records and approved tenant content.</w:t>
      </w:r>
    </w:p>
    <w:p>
      <w:pPr>
        <w:pStyle w:val="ListBullet"/>
      </w:pPr>
      <w:r>
        <w:t>Ask learners to state evidence, uncertainty and human ownership.</w:t>
      </w:r>
    </w:p>
    <w:p>
      <w:r>
        <w:br w:type="page"/>
      </w:r>
    </w:p>
    <w:p>
      <w:pPr>
        <w:pStyle w:val="Heading1"/>
      </w:pPr>
      <w:r>
        <w:t>Day 1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09:30–10:00</w:t>
            </w:r>
          </w:p>
        </w:tc>
        <w:tc>
          <w:tcPr>
            <w:tcW w:type="dxa" w:w="2520"/>
            <w:vAlign w:val="center"/>
          </w:tcPr>
          <w:p>
            <w:r>
              <w:t>Welcome, outcomes and course overview</w:t>
            </w:r>
          </w:p>
        </w:tc>
        <w:tc>
          <w:tcPr>
            <w:tcW w:type="dxa" w:w="2520"/>
            <w:vAlign w:val="center"/>
          </w:tcPr>
          <w:p>
            <w:r>
              <w:t>Facilitated briefing</w:t>
            </w:r>
          </w:p>
        </w:tc>
        <w:tc>
          <w:tcPr>
            <w:tcW w:type="dxa" w:w="2520"/>
            <w:vAlign w:val="center"/>
          </w:tcPr>
          <w:p>
            <w:r>
              <w:t>Slides 1–10</w:t>
            </w:r>
          </w:p>
        </w:tc>
      </w:tr>
      <w:tr>
        <w:tc>
          <w:tcPr>
            <w:tcW w:type="dxa" w:w="2520"/>
            <w:vAlign w:val="center"/>
          </w:tcPr>
          <w:p>
            <w:r>
              <w:t>10:00–10:55</w:t>
            </w:r>
          </w:p>
        </w:tc>
        <w:tc>
          <w:tcPr>
            <w:tcW w:type="dxa" w:w="2520"/>
            <w:vAlign w:val="center"/>
          </w:tcPr>
          <w:p>
            <w:r>
              <w:t>Unit 1 concepts</w:t>
            </w:r>
          </w:p>
        </w:tc>
        <w:tc>
          <w:tcPr>
            <w:tcW w:type="dxa" w:w="2520"/>
            <w:vAlign w:val="center"/>
          </w:tcPr>
          <w:p>
            <w:r>
              <w:t>Discussion and visual examples</w:t>
            </w:r>
          </w:p>
        </w:tc>
        <w:tc>
          <w:tcPr>
            <w:tcW w:type="dxa" w:w="2520"/>
            <w:vAlign w:val="center"/>
          </w:tcPr>
          <w:p>
            <w:r>
              <w:t>Slides 11–57</w:t>
            </w:r>
          </w:p>
        </w:tc>
      </w:tr>
      <w:tr>
        <w:tc>
          <w:tcPr>
            <w:tcW w:type="dxa" w:w="2520"/>
            <w:vAlign w:val="center"/>
          </w:tcPr>
          <w:p>
            <w:r>
              <w:t>10:55–11:10</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11:10–12:50</w:t>
            </w:r>
          </w:p>
        </w:tc>
        <w:tc>
          <w:tcPr>
            <w:tcW w:type="dxa" w:w="2520"/>
            <w:vAlign w:val="center"/>
          </w:tcPr>
          <w:p>
            <w:r>
              <w:t>Labs 1–3</w:t>
            </w:r>
          </w:p>
        </w:tc>
        <w:tc>
          <w:tcPr>
            <w:tcW w:type="dxa" w:w="2520"/>
            <w:vAlign w:val="center"/>
          </w:tcPr>
          <w:p>
            <w:r>
              <w:t>Team practice and review</w:t>
            </w:r>
          </w:p>
        </w:tc>
        <w:tc>
          <w:tcPr>
            <w:tcW w:type="dxa" w:w="2520"/>
            <w:vAlign w:val="center"/>
          </w:tcPr>
          <w:p>
            <w:r>
              <w:t>L1: 30–38; L2: 39–47; L3: 48–56</w:t>
            </w:r>
          </w:p>
        </w:tc>
      </w:tr>
      <w:tr>
        <w:tc>
          <w:tcPr>
            <w:tcW w:type="dxa" w:w="2520"/>
            <w:vAlign w:val="center"/>
          </w:tcPr>
          <w:p>
            <w:r>
              <w:t>12:50–13:20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13:20–14:45</w:t>
            </w:r>
          </w:p>
        </w:tc>
        <w:tc>
          <w:tcPr>
            <w:tcW w:type="dxa" w:w="2520"/>
            <w:vAlign w:val="center"/>
          </w:tcPr>
          <w:p>
            <w:r>
              <w:t>Unit 2 concepts</w:t>
            </w:r>
          </w:p>
        </w:tc>
        <w:tc>
          <w:tcPr>
            <w:tcW w:type="dxa" w:w="2520"/>
            <w:vAlign w:val="center"/>
          </w:tcPr>
          <w:p>
            <w:r>
              <w:t>Demonstration and discussion</w:t>
            </w:r>
          </w:p>
        </w:tc>
        <w:tc>
          <w:tcPr>
            <w:tcW w:type="dxa" w:w="2520"/>
            <w:vAlign w:val="center"/>
          </w:tcPr>
          <w:p>
            <w:r>
              <w:t>Slides 58–100</w:t>
            </w:r>
          </w:p>
        </w:tc>
      </w:tr>
      <w:tr>
        <w:tc>
          <w:tcPr>
            <w:tcW w:type="dxa" w:w="2520"/>
            <w:vAlign w:val="center"/>
          </w:tcPr>
          <w:p>
            <w:r>
              <w:t>14:45–15:00</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15:00–17:00</w:t>
            </w:r>
          </w:p>
        </w:tc>
        <w:tc>
          <w:tcPr>
            <w:tcW w:type="dxa" w:w="2520"/>
            <w:vAlign w:val="center"/>
          </w:tcPr>
          <w:p>
            <w:r>
              <w:t>Labs 4–6</w:t>
            </w:r>
          </w:p>
        </w:tc>
        <w:tc>
          <w:tcPr>
            <w:tcW w:type="dxa" w:w="2520"/>
            <w:vAlign w:val="center"/>
          </w:tcPr>
          <w:p>
            <w:r>
              <w:t>Individual and team practice</w:t>
            </w:r>
          </w:p>
        </w:tc>
        <w:tc>
          <w:tcPr>
            <w:tcW w:type="dxa" w:w="2520"/>
            <w:vAlign w:val="center"/>
          </w:tcPr>
          <w:p>
            <w:r>
              <w:t>L4: 73–81; L5: 82–90; L6: 91–99</w:t>
            </w:r>
          </w:p>
        </w:tc>
      </w:tr>
      <w:tr>
        <w:tc>
          <w:tcPr>
            <w:tcW w:type="dxa" w:w="2520"/>
            <w:vAlign w:val="center"/>
          </w:tcPr>
          <w:p>
            <w:r>
              <w:t>17:00–17:30</w:t>
            </w:r>
          </w:p>
        </w:tc>
        <w:tc>
          <w:tcPr>
            <w:tcW w:type="dxa" w:w="2520"/>
            <w:vAlign w:val="center"/>
          </w:tcPr>
          <w:p>
            <w:r>
              <w:t>Day 1 integration and reflection</w:t>
            </w:r>
          </w:p>
        </w:tc>
        <w:tc>
          <w:tcPr>
            <w:tcW w:type="dxa" w:w="2520"/>
            <w:vAlign w:val="center"/>
          </w:tcPr>
          <w:p>
            <w:r>
              <w:t>Peer teach-back</w:t>
            </w:r>
          </w:p>
        </w:tc>
        <w:tc>
          <w:tcPr>
            <w:tcW w:type="dxa" w:w="2520"/>
            <w:vAlign w:val="center"/>
          </w:tcPr>
          <w:p>
            <w:r>
              <w:t>Recap</w:t>
            </w:r>
          </w:p>
        </w:tc>
      </w:tr>
    </w:tbl>
    <w:p>
      <w:pPr>
        <w:pStyle w:val="Heading2"/>
      </w:pPr>
      <w:r>
        <w:t>Trainer notes</w:t>
      </w:r>
    </w:p>
    <w:p>
      <w:r>
        <w:t>Begin with fragmented requests, repeated rekeying, slow responses and weak traceability. Establish the continuum from deterministic automation to Copilot-assisted work and bounded agency. Use Labs 1–6 as one talent journey from demand through development. At every debrief, ask what administration was removed, what productivity improved and what strategic or human work received the returned capacity.</w:t>
      </w:r>
    </w:p>
    <w:p>
      <w:r>
        <w:br w:type="page"/>
      </w:r>
    </w:p>
    <w:p>
      <w:pPr>
        <w:pStyle w:val="Heading1"/>
      </w:pPr>
      <w:r>
        <w:t>Day 2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09:30–09:50</w:t>
            </w:r>
          </w:p>
        </w:tc>
        <w:tc>
          <w:tcPr>
            <w:tcW w:type="dxa" w:w="2520"/>
            <w:vAlign w:val="center"/>
          </w:tcPr>
          <w:p>
            <w:r>
              <w:t>Day 1 retrieval practice</w:t>
            </w:r>
          </w:p>
        </w:tc>
        <w:tc>
          <w:tcPr>
            <w:tcW w:type="dxa" w:w="2520"/>
            <w:vAlign w:val="center"/>
          </w:tcPr>
          <w:p>
            <w:r>
              <w:t>Facilitated review</w:t>
            </w:r>
          </w:p>
        </w:tc>
        <w:tc>
          <w:tcPr>
            <w:tcW w:type="dxa" w:w="2520"/>
            <w:vAlign w:val="center"/>
          </w:tcPr>
          <w:p>
            <w:r>
              <w:t>Recap</w:t>
            </w:r>
          </w:p>
        </w:tc>
      </w:tr>
      <w:tr>
        <w:tc>
          <w:tcPr>
            <w:tcW w:type="dxa" w:w="2520"/>
            <w:vAlign w:val="center"/>
          </w:tcPr>
          <w:p>
            <w:r>
              <w:t>09:50–11:30</w:t>
            </w:r>
          </w:p>
        </w:tc>
        <w:tc>
          <w:tcPr>
            <w:tcW w:type="dxa" w:w="2520"/>
            <w:vAlign w:val="center"/>
          </w:tcPr>
          <w:p>
            <w:r>
              <w:t>Unit 3 concepts</w:t>
            </w:r>
          </w:p>
        </w:tc>
        <w:tc>
          <w:tcPr>
            <w:tcW w:type="dxa" w:w="2520"/>
            <w:vAlign w:val="center"/>
          </w:tcPr>
          <w:p>
            <w:r>
              <w:t>Agent design walkthrough</w:t>
            </w:r>
          </w:p>
        </w:tc>
        <w:tc>
          <w:tcPr>
            <w:tcW w:type="dxa" w:w="2520"/>
            <w:vAlign w:val="center"/>
          </w:tcPr>
          <w:p>
            <w:r>
              <w:t>Slides 101–142</w:t>
            </w:r>
          </w:p>
        </w:tc>
      </w:tr>
      <w:tr>
        <w:tc>
          <w:tcPr>
            <w:tcW w:type="dxa" w:w="2520"/>
            <w:vAlign w:val="center"/>
          </w:tcPr>
          <w:p>
            <w:r>
              <w:t>11:30–11:50</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11:50–13:00</w:t>
            </w:r>
          </w:p>
        </w:tc>
        <w:tc>
          <w:tcPr>
            <w:tcW w:type="dxa" w:w="2520"/>
            <w:vAlign w:val="center"/>
          </w:tcPr>
          <w:p>
            <w:r>
              <w:t>Labs 7–9 (build)</w:t>
            </w:r>
          </w:p>
        </w:tc>
        <w:tc>
          <w:tcPr>
            <w:tcW w:type="dxa" w:w="2520"/>
            <w:vAlign w:val="center"/>
          </w:tcPr>
          <w:p>
            <w:r>
              <w:t>Build, test and review</w:t>
            </w:r>
          </w:p>
        </w:tc>
        <w:tc>
          <w:tcPr>
            <w:tcW w:type="dxa" w:w="2520"/>
            <w:vAlign w:val="center"/>
          </w:tcPr>
          <w:p>
            <w:r>
              <w:t>L7: 115–123; L8: 124–132; L9: 133–141</w:t>
            </w:r>
          </w:p>
        </w:tc>
      </w:tr>
      <w:tr>
        <w:tc>
          <w:tcPr>
            <w:tcW w:type="dxa" w:w="2520"/>
            <w:vAlign w:val="center"/>
          </w:tcPr>
          <w:p>
            <w:r>
              <w:t>13:00–13:30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13:30–14:50</w:t>
            </w:r>
          </w:p>
        </w:tc>
        <w:tc>
          <w:tcPr>
            <w:tcW w:type="dxa" w:w="2520"/>
            <w:vAlign w:val="center"/>
          </w:tcPr>
          <w:p>
            <w:r>
              <w:t>Labs 7–9 (test and review)</w:t>
            </w:r>
          </w:p>
        </w:tc>
        <w:tc>
          <w:tcPr>
            <w:tcW w:type="dxa" w:w="2520"/>
            <w:vAlign w:val="center"/>
          </w:tcPr>
          <w:p>
            <w:r>
              <w:t>Build, test and review</w:t>
            </w:r>
          </w:p>
        </w:tc>
        <w:tc>
          <w:tcPr>
            <w:tcW w:type="dxa" w:w="2520"/>
            <w:vAlign w:val="center"/>
          </w:tcPr>
          <w:p>
            <w:r>
              <w:t>L7: 115–123; L8: 124–132; L9: 133–141</w:t>
            </w:r>
          </w:p>
        </w:tc>
      </w:tr>
      <w:tr>
        <w:tc>
          <w:tcPr>
            <w:tcW w:type="dxa" w:w="2520"/>
            <w:vAlign w:val="center"/>
          </w:tcPr>
          <w:p>
            <w:r>
              <w:t>14:50–16:10</w:t>
            </w:r>
          </w:p>
        </w:tc>
        <w:tc>
          <w:tcPr>
            <w:tcW w:type="dxa" w:w="2520"/>
            <w:vAlign w:val="center"/>
          </w:tcPr>
          <w:p>
            <w:r>
              <w:t>Unit 4 concepts</w:t>
            </w:r>
          </w:p>
        </w:tc>
        <w:tc>
          <w:tcPr>
            <w:tcW w:type="dxa" w:w="2520"/>
            <w:vAlign w:val="center"/>
          </w:tcPr>
          <w:p>
            <w:r>
              <w:t>Governance scenario analysis</w:t>
            </w:r>
          </w:p>
        </w:tc>
        <w:tc>
          <w:tcPr>
            <w:tcW w:type="dxa" w:w="2520"/>
            <w:vAlign w:val="center"/>
          </w:tcPr>
          <w:p>
            <w:r>
              <w:t>Slides 143–187</w:t>
            </w:r>
          </w:p>
        </w:tc>
      </w:tr>
      <w:tr>
        <w:tc>
          <w:tcPr>
            <w:tcW w:type="dxa" w:w="2520"/>
            <w:vAlign w:val="center"/>
          </w:tcPr>
          <w:p>
            <w:r>
              <w:t>16:10–16:30</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16:30–17:30</w:t>
            </w:r>
          </w:p>
        </w:tc>
        <w:tc>
          <w:tcPr>
            <w:tcW w:type="dxa" w:w="2520"/>
            <w:vAlign w:val="center"/>
          </w:tcPr>
          <w:p>
            <w:r>
              <w:t>Labs 10–12 capstone and course feedback</w:t>
            </w:r>
          </w:p>
        </w:tc>
        <w:tc>
          <w:tcPr>
            <w:tcW w:type="dxa" w:w="2520"/>
            <w:vAlign w:val="center"/>
          </w:tcPr>
          <w:p>
            <w:r>
              <w:t>Evidence-based decision</w:t>
            </w:r>
          </w:p>
        </w:tc>
        <w:tc>
          <w:tcPr>
            <w:tcW w:type="dxa" w:w="2520"/>
            <w:vAlign w:val="center"/>
          </w:tcPr>
          <w:p>
            <w:r>
              <w:t>L10: 160–168; L11: 169–177; L12: 178–186</w:t>
            </w:r>
          </w:p>
        </w:tc>
      </w:tr>
    </w:tbl>
    <w:p>
      <w:pPr>
        <w:pStyle w:val="Heading2"/>
      </w:pPr>
      <w:r>
        <w:t>Trainer notes</w:t>
      </w:r>
    </w:p>
    <w:p>
      <w:r>
        <w:t>Use Labs 7–9 as parallel employee-service pods and Lab 12 as a short control-room decision sprint; Labs 10–11 are self-paced extensions. Use the employee-service and exit journey. Keep agent building anchored to purpose, knowledge, tools, boundaries and tests. Rehearse failure and escalation, and distinguish time genuinely returned from new monitoring work.</w:t>
      </w:r>
    </w:p>
    <w:p>
      <w:r>
        <w:br w:type="page"/>
      </w:r>
    </w:p>
    <w:p>
      <w:pPr>
        <w:pStyle w:val="Heading1"/>
      </w:pPr>
      <w:r>
        <w:t>Lab facilitation and debrief</w:t>
      </w:r>
    </w:p>
    <w:p>
      <w:pPr>
        <w:pStyle w:val="Heading2"/>
      </w:pPr>
      <w:r>
        <w:t>Lab 1: Assess Talent Needs with Copilot</w:t>
      </w:r>
    </w:p>
    <w:p>
      <w:r>
        <w:t>Purpose: Use Microsoft 365 Copilot to turn operational evidence into a transparent hire, redeploy or develop recommendation.</w:t>
      </w:r>
    </w:p>
    <w:p>
      <w:r>
        <w:t>Observe for: Cite the supplied cells and records; Separate fact from forecast; Business and HR owners approve the demand hypothesis</w:t>
      </w:r>
    </w:p>
    <w:p>
      <w:r>
        <w:t>Debrief: Which assumption most changes the talent need? | Where could automation reduce workload without removing accountability? | What evidence would trigger a plan revision?</w:t>
      </w:r>
    </w:p>
    <w:p>
      <w:r>
        <w:t>Slides: 30–38</w:t>
      </w:r>
    </w:p>
    <w:p>
      <w:pPr>
        <w:pStyle w:val="Heading2"/>
      </w:pPr>
      <w:r>
        <w:t>Lab 2: Draft an Inclusive Job Description with Generative AI</w:t>
      </w:r>
    </w:p>
    <w:p>
      <w:r>
        <w:t>Purpose: Use Word Copilot to draft a skills-based, inclusive and approval-ready job description grounded in the approved talent need.</w:t>
      </w:r>
    </w:p>
    <w:p>
      <w:r>
        <w:t>Observe for: Use job-related criteria only; Distinguish essential from trainable skills; Hiring manager and HR approve every requirement</w:t>
      </w:r>
    </w:p>
    <w:p>
      <w:r>
        <w:t>Debrief: Which copied requirement would unnecessarily narrow the talent pool? | What must the hiring manager verify rather than delegate to Copilot? | How does the JD make later screening contestable?</w:t>
      </w:r>
    </w:p>
    <w:p>
      <w:r>
        <w:t>Slides: 39–47</w:t>
      </w:r>
    </w:p>
    <w:p>
      <w:pPr>
        <w:pStyle w:val="Heading2"/>
      </w:pPr>
      <w:r>
        <w:t>Lab 3: Screen Resumes with a Fair Evidence Matrix</w:t>
      </w:r>
    </w:p>
    <w:p>
      <w:r>
        <w:t>Purpose: Use Microsoft 365 Copilot to extract job-related evidence at speed while keeping shortlist decisions human, traceable and reviewable.</w:t>
      </w:r>
    </w:p>
    <w:p>
      <w:r>
        <w:t>Observe for: Synthetic resumes only; Protected attributes and proxies excluded; AI may organise evidence but cannot reject a candidate</w:t>
      </w:r>
    </w:p>
    <w:p>
      <w:r>
        <w:t>Debrief: Where could absence of evidence become an unfair negative assumption? | How can a candidate challenge or correct the evidence? | Which screening error creates the greatest harm?</w:t>
      </w:r>
    </w:p>
    <w:p>
      <w:r>
        <w:t>Slides: 48–56</w:t>
      </w:r>
    </w:p>
    <w:p>
      <w:pPr>
        <w:pStyle w:val="Heading2"/>
      </w:pPr>
      <w:r>
        <w:t>Lab 4: Prepare and Review Structured Interviews with AI</w:t>
      </w:r>
    </w:p>
    <w:p>
      <w:r>
        <w:t>Purpose: Use Copilot to prepare job-related structured questions, organise synthetic interview notes and support a human panel decision.</w:t>
      </w:r>
    </w:p>
    <w:p>
      <w:r>
        <w:t>Observe for: Same core questions for every candidate; No emotion or personality inference; Panel members score independently before consensus</w:t>
      </w:r>
    </w:p>
    <w:p>
      <w:r>
        <w:t>Debrief: Which question best tests a role outcome rather than similarity to the panel? | What interview evidence should Copilot never infer? | How will disagreements between panel members be resolved?</w:t>
      </w:r>
    </w:p>
    <w:p>
      <w:r>
        <w:t>Slides: 73–81</w:t>
      </w:r>
    </w:p>
    <w:p>
      <w:pPr>
        <w:pStyle w:val="Heading2"/>
      </w:pPr>
      <w:r>
        <w:t>Lab 5: Automate Onboarding Coordination</w:t>
      </w:r>
    </w:p>
    <w:p>
      <w:r>
        <w:t>Purpose: Design a Copilot Studio onboarding agent that coordinates routine work while retaining accountable task owners and human confirmation.</w:t>
      </w:r>
    </w:p>
    <w:p>
      <w:r>
        <w:t>Observe for: Use approved role and policy data; Least-privilege connectors; A human owner confirms every completion</w:t>
      </w:r>
    </w:p>
    <w:p>
      <w:r>
        <w:t>Debrief: Which work is safely automated and which remains owned by a person? | Where could duplicate tasks be created? | What proves the new joiner is ready rather than the checklist merely complete?</w:t>
      </w:r>
    </w:p>
    <w:p>
      <w:r>
        <w:t>Slides: 82–90</w:t>
      </w:r>
    </w:p>
    <w:p>
      <w:pPr>
        <w:pStyle w:val="Heading2"/>
      </w:pPr>
      <w:r>
        <w:t>Lab 6: Create a Personalised Talent Development Journey</w:t>
      </w:r>
    </w:p>
    <w:p>
      <w:r>
        <w:t>Purpose: Use Copilot and a bounded development agent to identify evidence-based skill gaps, prepare learning options and automate routine follow-up.</w:t>
      </w:r>
    </w:p>
    <w:p>
      <w:r>
        <w:t>Observe for: Employee can correct the skills record; No deterministic potential ranking; Manager and employee choose the final plan</w:t>
      </w:r>
    </w:p>
    <w:p>
      <w:r>
        <w:t>Debrief: How can the employee challenge the skills profile? | What would make a recommendation explainable? | Which development decision should never be automated?</w:t>
      </w:r>
    </w:p>
    <w:p>
      <w:r>
        <w:t>Slides: 91–99</w:t>
      </w:r>
    </w:p>
    <w:p>
      <w:pPr>
        <w:pStyle w:val="Heading2"/>
      </w:pPr>
      <w:r>
        <w:t>Lab 7: Draft and Operate an HR Policy Agent</w:t>
      </w:r>
    </w:p>
    <w:p>
      <w:r>
        <w:t>Purpose: Use Word Copilot to reconcile a controlled policy draft, then build an Agent Builder policy Q&amp;A agent that cites the approved version.</w:t>
      </w:r>
    </w:p>
    <w:p>
      <w:r>
        <w:t>Observe for: Policy owner approves meaning; Answers cite effective policy; Ambiguous and sensitive cases escalate</w:t>
      </w:r>
    </w:p>
    <w:p>
      <w:r>
        <w:t>Debrief: What makes an answer grounded rather than plausible? | Which exception requires a policy owner instead of an agent? | What operating work is created when self-service is introduced?</w:t>
      </w:r>
    </w:p>
    <w:p>
      <w:r>
        <w:t>Slides: 115–123</w:t>
      </w:r>
    </w:p>
    <w:p>
      <w:pPr>
        <w:pStyle w:val="Heading2"/>
      </w:pPr>
      <w:r>
        <w:t>Lab 8: Automate Leave Application and Approval</w:t>
      </w:r>
    </w:p>
    <w:p>
      <w:r>
        <w:t>Purpose: Build a Copilot Studio leave agent plus deterministic approval flow for validation, confirmation, update and notification.</w:t>
      </w:r>
    </w:p>
    <w:p>
      <w:r>
        <w:t>Observe for: Employee confirms before submission; Manager owns exceptions; Idempotency prevents duplicate actions</w:t>
      </w:r>
    </w:p>
    <w:p>
      <w:r>
        <w:t>Debrief: Which rule belongs in the flow rather than the language model? | How will the system detect a duplicate request? | Who resolves a disputed leave balance?</w:t>
      </w:r>
    </w:p>
    <w:p>
      <w:r>
        <w:t>Slides: 124–132</w:t>
      </w:r>
    </w:p>
    <w:p>
      <w:pPr>
        <w:pStyle w:val="Heading2"/>
      </w:pPr>
      <w:r>
        <w:t>Lab 9: Build a Benefits Self-Service Agent</w:t>
      </w:r>
    </w:p>
    <w:p>
      <w:r>
        <w:t>Purpose: Design a benefits agent that answers grounded general questions, retrieves authorised status and escalates consequential or sensitive cases.</w:t>
      </w:r>
    </w:p>
    <w:p>
      <w:r>
        <w:t>Observe for: General answers cite approved plan documents; Personal requests require authentication; No medical, legal or final entitlement advice</w:t>
      </w:r>
    </w:p>
    <w:p>
      <w:r>
        <w:t>Debrief: Why should one conversational front door not have one permission set? | Which benefits question requires immediate human review? | How will employees know the source and effective date of an answer?</w:t>
      </w:r>
    </w:p>
    <w:p>
      <w:r>
        <w:t>Slides: 133–141</w:t>
      </w:r>
    </w:p>
    <w:p>
      <w:pPr>
        <w:pStyle w:val="Heading2"/>
      </w:pPr>
      <w:r>
        <w:t>Lab 10: Use AI for Workforce Wellness Insights</w:t>
      </w:r>
    </w:p>
    <w:p>
      <w:r>
        <w:t>Purpose: Use Copilot to analyse aggregated wellness evidence, identify organisational questions and prepare human-led interventions.</w:t>
      </w:r>
    </w:p>
    <w:p>
      <w:r>
        <w:t>Observe for: Aggregate and minimise personal data; No diagnosis or individual risk scoring; Employees have a clear human support route</w:t>
      </w:r>
    </w:p>
    <w:p>
      <w:r>
        <w:t>Debrief: Which attractive insight is not safe to act on? | How does aggregation reduce but not eliminate privacy risk? | What response supports people without surveillance?</w:t>
      </w:r>
    </w:p>
    <w:p>
      <w:r>
        <w:t>Slides: 160–168</w:t>
      </w:r>
    </w:p>
    <w:p>
      <w:pPr>
        <w:pStyle w:val="Heading2"/>
      </w:pPr>
      <w:r>
        <w:t>Lab 11: Automate Safe Employee Offboarding</w:t>
      </w:r>
    </w:p>
    <w:p>
      <w:r>
        <w:t>Purpose: Design a Copilot Studio offboarding agent and controlled flow that reduces follow-up while preserving separation of duties and respectful communication.</w:t>
      </w:r>
    </w:p>
    <w:p>
      <w:r>
        <w:t>Observe for: Confirmed exit event before action; Separate HR, payroll, asset and access approvals; Knowledge and personal data retention are purpose-limited</w:t>
      </w:r>
    </w:p>
    <w:p>
      <w:r>
        <w:t>Debrief: What evidence is required before access is removed? | Where is separation of duties essential? | How can automation preserve dignity during exit?</w:t>
      </w:r>
    </w:p>
    <w:p>
      <w:r>
        <w:t>Slides: 169–177</w:t>
      </w:r>
    </w:p>
    <w:p>
      <w:pPr>
        <w:pStyle w:val="Heading2"/>
      </w:pPr>
      <w:r>
        <w:t>Lab 12: Capstone: Operate the HR Agent Control Room</w:t>
      </w:r>
    </w:p>
    <w:p>
      <w:r>
        <w:t>Purpose: Use lifecycle, service, risk, adoption and human-value evidence to govern the full HR AI operating system.</w:t>
      </w:r>
    </w:p>
    <w:p>
      <w:r>
        <w:t>Observe for: No scale without control thresholds; Employee feedback included; Named owner and retirement path</w:t>
      </w:r>
    </w:p>
    <w:p>
      <w:r>
        <w:t>Debrief: Which metric looked good but hid harm? | What evidence justifies scale? | How will the organisation retire an agent safely?</w:t>
      </w:r>
    </w:p>
    <w:p>
      <w:r>
        <w:t>Slides: 178–186</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Lesson Plan • Version 1.0 • 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C820  |  Microsoft Copilot for HR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