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Building Multi Agent Aplications with Gemini ADK (C829)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aligned across slide deck, Learner Guide, Lesson Plan, and eight connected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Single Agents, Tools, State and Memory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Multi-Agent Orchestration, MCP and Production Readiness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Building Multi Agent Aplications with Gemini ADK (C829)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scheduled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6:00 pm (1-hour lunch; tea breaks within scheduled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the ADK agent lifecycle and configure a Gemini agent with clear instructions, typed input or output, and session-aware behaviour.</w:t>
      </w:r>
    </w:p>
    <w:p>
      <w:pPr>
        <w:pStyle w:val="ListBullet"/>
      </w:pPr>
      <w:r>
        <w:rPr>
          <w:sz w:val="21"/>
        </w:rPr>
        <w:t>LO2: Build reliable function tools and API integrations with explicit schemas, validation, error handling, and safe secret management.</w:t>
      </w:r>
    </w:p>
    <w:p>
      <w:pPr>
        <w:pStyle w:val="ListBullet"/>
      </w:pPr>
      <w:r>
        <w:rPr>
          <w:sz w:val="21"/>
        </w:rPr>
        <w:t>LO3: Use session state and searchable memory to preserve relevant context without confusing conversation history, working state, and long-term knowledge.</w:t>
      </w:r>
    </w:p>
    <w:p>
      <w:pPr>
        <w:pStyle w:val="ListBullet"/>
      </w:pPr>
      <w:r>
        <w:rPr>
          <w:sz w:val="21"/>
        </w:rPr>
        <w:t>LO4: Design multi-agent systems with specialist roles, coordinator delegation, shared context, and deterministic graph workflows where control matters.</w:t>
      </w:r>
    </w:p>
    <w:p>
      <w:pPr>
        <w:pStyle w:val="ListBullet"/>
      </w:pPr>
      <w:r>
        <w:rPr>
          <w:sz w:val="21"/>
        </w:rPr>
        <w:t>LO5: Connect ADK agents to MCP capabilities and choose an appropriate routing strategy for tools, specialists, and workflow branches.</w:t>
      </w:r>
    </w:p>
    <w:p>
      <w:pPr>
        <w:pStyle w:val="ListBullet"/>
      </w:pPr>
      <w:r>
        <w:rPr>
          <w:sz w:val="21"/>
        </w:rPr>
        <w:t>LO6: Apply evaluation, observability, security guardrails, and deployment practices to prepare a multi-agent application for production use.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r>
        <w:br w:type="page"/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Single Agents, Tools, State and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environment check, course roadmap and learning outcomes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Single Agent Foundations (concepts, architecture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Create the SupportOps Agent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Add Structured Triage and Sessions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Tools, Memory and Sessions (concepts, patterns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Connect Reliable Function Tools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16:20–17:40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Add Searchable Knowledge and Memory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troubleshooting clinic and reflection</w:t>
            </w:r>
          </w:p>
        </w:tc>
      </w:tr>
    </w:tbl>
    <w:p>
      <w:r>
        <w:rPr>
          <w:i/>
          <w:color w:val="555B66"/>
          <w:sz w:val="19"/>
        </w:rPr>
        <w:t>Total scheduled time: 450 minutes (7.5 hours) excluding lunch — of which 420 minutes (7 hours) are instructional, plus 30 minutes of tea breaks.</w:t>
      </w:r>
    </w:p>
    <w:p>
      <w:r>
        <w:br w:type="page"/>
      </w:r>
    </w:p>
    <w:p>
      <w:pPr>
        <w:pStyle w:val="Heading2"/>
      </w:pPr>
      <w:r>
        <w:t>Day 2 — Multi-Agent Orchestration, MCP and Production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checkpoint recovery and Day 2 orientation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Multi-Agent Architecture (concepts, pattern selection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a Specialist Agent Team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Orchestrate a Deterministic Resolution Pipeline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MCP and Production Design (concepts, production trade-offs and worked example)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15:00–15:15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15:15–16:20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Discover Tools Through MCP</w:t>
            </w:r>
          </w:p>
        </w:tc>
      </w:tr>
      <w:tr>
        <w:trPr>
          <w:cantSplit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16:20–17:40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Harden, Observe, and Package SupportOps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production checklist, action plan and Q&amp;A</w:t>
            </w:r>
          </w:p>
        </w:tc>
      </w:tr>
    </w:tbl>
    <w:p>
      <w:r>
        <w:rPr>
          <w:i/>
          <w:color w:val="555B66"/>
          <w:sz w:val="19"/>
        </w:rPr>
        <w:t>Total scheduled time: 450 minutes (7.5 hours) excluding lunch — of which 420 minutes (7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Single Agent Foundations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Tools, Memory and Sessions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Multi-Agent Architecture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MCP and Production Design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