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Motivation and SMART Goal Canvas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Incomplete handovers occur in 18 of 100 cases. The team has little practice with the new template and conflicting priorities. The aim is at most 8 incomplete handovers per 100 within four weeks.</w:t>
      </w:r>
    </w:p>
    <w:p>
      <w:pPr>
        <w:pStyle w:val="Heading2"/>
      </w:pPr>
      <w:r>
        <w:t>Baseline</w:t>
      </w:r>
    </w:p>
    <w:p>
      <w:r>
        <w:t>18/100 incomplete</w:t>
      </w:r>
    </w:p>
    <w:p>
      <w:pPr>
        <w:pStyle w:val="Heading2"/>
      </w:pPr>
      <w:r>
        <w:t>Target</w:t>
      </w:r>
    </w:p>
    <w:p>
      <w:r>
        <w:t>At most 8/100</w:t>
      </w:r>
    </w:p>
    <w:p>
      <w:pPr>
        <w:pStyle w:val="Heading2"/>
      </w:pPr>
      <w:r>
        <w:t>Deadline</w:t>
      </w:r>
    </w:p>
    <w:p>
      <w:r>
        <w:t>Four weeks</w:t>
      </w:r>
    </w:p>
    <w:p>
      <w:pPr>
        <w:pStyle w:val="Heading2"/>
      </w:pPr>
      <w:r>
        <w:t>Support</w:t>
      </w:r>
    </w:p>
    <w:p>
      <w:r>
        <w:t>Practice and protected time</w:t>
      </w:r>
    </w:p>
    <w:p>
      <w:pPr>
        <w:pStyle w:val="Heading2"/>
      </w:pPr>
      <w:r>
        <w:t>Balancing measure</w:t>
      </w:r>
    </w:p>
    <w:p>
      <w:r>
        <w:t>Minutes per handover</w:t>
      </w:r>
    </w:p>
    <w:p>
      <w:pPr>
        <w:pStyle w:val="Heading2"/>
      </w:pPr>
      <w:r>
        <w:t>Owner</w:t>
      </w:r>
    </w:p>
    <w:p>
      <w:r>
        <w:t>Coordinator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