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Motivation and SMART Goal Canvas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Incomplete handovers occur in 18 of 100 cases. The team has little practice with the new template and conflicting priorities. The aim is at most 8 incomplete handovers per 100 within four weeks.</w:t>
      </w:r>
    </w:p>
    <w:p>
      <w:pPr>
        <w:pStyle w:val="Heading2"/>
      </w:pPr>
      <w:r>
        <w:t>Baseline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Target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Deadline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Support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Balancing measure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Owner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