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20240" cy="1920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00"/>
        <w:jc w:val="center"/>
      </w:pPr>
      <w:r>
        <w:rPr>
          <w:b w:val="0"/>
          <w:color w:val="555B66"/>
          <w:sz w:val="20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52"/>
        </w:rPr>
        <w:t>LESSON PLAN</w:t>
      </w:r>
    </w:p>
    <w:p>
      <w:pPr>
        <w:spacing w:before="80" w:after="160"/>
        <w:jc w:val="center"/>
      </w:pPr>
      <w:r>
        <w:rPr>
          <w:b w:val="0"/>
          <w:color w:val="555B66"/>
          <w:sz w:val="24"/>
        </w:rPr>
        <w:t>For</w:t>
      </w:r>
    </w:p>
    <w:p>
      <w:pPr>
        <w:spacing w:before="80" w:after="40"/>
        <w:jc w:val="center"/>
      </w:pPr>
      <w:r>
        <w:rPr>
          <w:b/>
          <w:color w:val="111827"/>
          <w:sz w:val="40"/>
        </w:rPr>
        <w:t>Design of Experiment (DOE) Masterclass</w:t>
      </w:r>
    </w:p>
    <w:p>
      <w:pPr>
        <w:spacing w:before="80" w:after="280"/>
        <w:jc w:val="center"/>
      </w:pPr>
      <w:r>
        <w:rPr>
          <w:b w:val="0"/>
          <w:color w:val="111827"/>
          <w:sz w:val="24"/>
        </w:rPr>
        <w:t>Course Code: C950</w:t>
      </w:r>
    </w:p>
    <w:p>
      <w:pPr>
        <w:spacing w:before="0" w:after="40"/>
        <w:jc w:val="center"/>
      </w:pPr>
      <w:r>
        <w:rPr>
          <w:b w:val="0"/>
          <w:color w:val="555B66"/>
          <w:sz w:val="22"/>
        </w:rPr>
        <w:t>Conducted by</w:t>
      </w:r>
    </w:p>
    <w:p>
      <w:pPr>
        <w:spacing w:before="0" w:after="4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40"/>
        <w:jc w:val="center"/>
      </w:pPr>
      <w:r>
        <w:rPr>
          <w:b w:val="0"/>
          <w:color w:val="555B66"/>
          <w:sz w:val="22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24"/>
        </w:rPr>
        <w:t>Version 1.0</w:t>
      </w:r>
    </w:p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DOCUMENT VERSION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Version Number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Effective Date of Release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Summary of Included Changes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Author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1.0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2 October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Initial release of the Design of Experiment (DOE) Masterclass lesson plan: two 9:30am – 5:30pm days (15 instructional hours), four topics, ten NovaDOE labs and the v1.0 145-slide deck.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Dr Alfred Ang</w:t>
            </w:r>
          </w:p>
        </w:tc>
      </w:tr>
    </w:tbl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TABLE OF CONTENTS</w:t>
      </w:r>
    </w:p>
    <w:p>
      <w:r>
        <w:fldChar w:fldCharType="begin"/>
        <w:instrText xml:space="preserve">TOC \o "1-3" \h \z \u</w:instrText>
        <w:fldChar w:fldCharType="separate"/>
        <w:t>Right-click and choose “Update Field”, or press F9, to build the table of contents.</w:t>
        <w:fldChar w:fldCharType="end"/>
      </w:r>
    </w:p>
    <w:p>
      <w:r>
        <w:br w:type="page"/>
      </w:r>
    </w:p>
    <w:p>
      <w:pPr>
        <w:pStyle w:val="Heading1"/>
      </w:pPr>
      <w:r>
        <w:t>Course Overview</w:t>
      </w:r>
    </w:p>
    <w:p>
      <w:r>
        <w:t>This 2-day, 15-hour course develops practical capability to plan, generate, analyse and evaluate designed experiments using NovaDOE and Excel. Each day runs 9:30am – 5:30pm with 7.5 instructional hours; click-by-click procedures are kept in the Learner Guide.</w:t>
      </w:r>
    </w:p>
    <w:p>
      <w:pPr>
        <w:pStyle w:val="Heading1"/>
      </w:pPr>
      <w:r>
        <w:t>Learning Outcomes</w:t>
      </w:r>
    </w:p>
    <w:p>
      <w:pPr>
        <w:pStyle w:val="ListBullet"/>
      </w:pPr>
      <w:r>
        <w:t>LO1: Analyse process interactions to characterise key factors influencing performance in Design of Experiments.</w:t>
      </w:r>
    </w:p>
    <w:p>
      <w:pPr>
        <w:pStyle w:val="ListBullet"/>
      </w:pPr>
      <w:r>
        <w:t>LO2: Select suitable factorial DoE projects by evaluating relevant performance metrics.</w:t>
      </w:r>
    </w:p>
    <w:p>
      <w:pPr>
        <w:pStyle w:val="ListBullet"/>
      </w:pPr>
      <w:r>
        <w:t>LO3: Define the scope and execute fractional factorial DoE projects using problem-solving techniques.</w:t>
      </w:r>
    </w:p>
    <w:p>
      <w:pPr>
        <w:pStyle w:val="ListBullet"/>
      </w:pPr>
      <w:r>
        <w:t>LO4: Evaluate the effectiveness of DoE projects and recommend follow-up actions.</w:t>
      </w:r>
    </w:p>
    <w:p>
      <w:pPr>
        <w:pStyle w:val="Heading1"/>
      </w:pPr>
      <w:r>
        <w:t>Training Methods and Resources</w:t>
      </w:r>
    </w:p>
    <w:p>
      <w:pPr>
        <w:pStyle w:val="ListBullet"/>
      </w:pPr>
      <w:r>
        <w:t>Concept-led visual presentation and worked engineering examples.</w:t>
      </w:r>
    </w:p>
    <w:p>
      <w:pPr>
        <w:pStyle w:val="ListBullet"/>
      </w:pPr>
      <w:r>
        <w:t>NovaDOE browser tool for full factorial, fractional factorial, Plackett-Burman, CCD and space-filling designs.</w:t>
      </w:r>
    </w:p>
    <w:p>
      <w:pPr>
        <w:pStyle w:val="ListBullet"/>
      </w:pPr>
      <w:r>
        <w:t>Ten individual activity folders with CSV mock data and Excel workbooks.</w:t>
      </w:r>
    </w:p>
    <w:p>
      <w:pPr>
        <w:pStyle w:val="ListBullet"/>
      </w:pPr>
      <w:r>
        <w:t>Facilitated interpretation, peer review, evidence checks and confirmation planning.</w:t>
      </w:r>
    </w:p>
    <w:p>
      <w:pPr>
        <w:pStyle w:val="ListBullet"/>
      </w:pPr>
      <w:r>
        <w:t>Learner Guide for all detailed procedures; no click-by-click procedure in the slide deck.</w:t>
      </w:r>
    </w:p>
    <w:p>
      <w:pPr>
        <w:pStyle w:val="Heading1"/>
      </w:pPr>
      <w:r>
        <w:t>Day 1: Foundations, ANOVA and factorial designs (9:30am – 5:30pm)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F6FEB"/>
          </w:tcPr>
          <w:p>
            <w:r>
              <w:rPr>
                <w:b/>
                <w:color w:val="FFFFFF"/>
              </w:rPr>
              <w:t>Time</w:t>
            </w:r>
          </w:p>
        </w:tc>
        <w:tc>
          <w:tcPr>
            <w:tcW w:type="dxa" w:w="1728"/>
            <w:shd w:val="clear" w:color="auto" w:fill="1F6FEB"/>
          </w:tcPr>
          <w:p>
            <w:r>
              <w:rPr>
                <w:b/>
                <w:color w:val="FFFFFF"/>
              </w:rPr>
              <w:t>Duration</w:t>
            </w:r>
          </w:p>
        </w:tc>
        <w:tc>
          <w:tcPr>
            <w:tcW w:type="dxa" w:w="1728"/>
            <w:shd w:val="clear" w:color="auto" w:fill="1F6FEB"/>
          </w:tcPr>
          <w:p>
            <w:r>
              <w:rPr>
                <w:b/>
                <w:color w:val="FFFFFF"/>
              </w:rPr>
              <w:t>Topic / Activity</w:t>
            </w:r>
          </w:p>
        </w:tc>
        <w:tc>
          <w:tcPr>
            <w:tcW w:type="dxa" w:w="1728"/>
            <w:shd w:val="clear" w:color="auto" w:fill="1F6FEB"/>
          </w:tcPr>
          <w:p>
            <w:r>
              <w:rPr>
                <w:b/>
                <w:color w:val="FFFFFF"/>
              </w:rPr>
              <w:t>Method / Evidence</w:t>
            </w:r>
          </w:p>
        </w:tc>
        <w:tc>
          <w:tcPr>
            <w:tcW w:type="dxa" w:w="1728"/>
            <w:shd w:val="clear" w:color="auto" w:fill="1F6FEB"/>
          </w:tcPr>
          <w:p>
            <w:r>
              <w:rPr>
                <w:b/>
                <w:color w:val="FFFFFF"/>
              </w:rPr>
              <w:t>Slide Mapping</w:t>
            </w:r>
          </w:p>
        </w:tc>
      </w:tr>
      <w:tr>
        <w:tc>
          <w:tcPr>
            <w:tcW w:type="dxa" w:w="1728"/>
          </w:tcPr>
          <w:p>
            <w:r>
              <w:t>09:30–10:55</w:t>
            </w:r>
          </w:p>
        </w:tc>
        <w:tc>
          <w:tcPr>
            <w:tcW w:type="dxa" w:w="1728"/>
          </w:tcPr>
          <w:p>
            <w:r>
              <w:t>85 min</w:t>
            </w:r>
          </w:p>
        </w:tc>
        <w:tc>
          <w:tcPr>
            <w:tcW w:type="dxa" w:w="1728"/>
          </w:tcPr>
          <w:p>
            <w:r>
              <w:t>Topic 1: DoE foundations, project framing and measurement</w:t>
            </w:r>
          </w:p>
        </w:tc>
        <w:tc>
          <w:tcPr>
            <w:tcW w:type="dxa" w:w="1728"/>
          </w:tcPr>
          <w:p>
            <w:r>
              <w:t>Lecture, visual frameworks and Lab 1</w:t>
            </w:r>
          </w:p>
        </w:tc>
        <w:tc>
          <w:tcPr>
            <w:tcW w:type="dxa" w:w="1728"/>
          </w:tcPr>
          <w:p>
            <w:r>
              <w:t>Slides 10–40; Lab 1: slides 36–37</w:t>
            </w:r>
          </w:p>
        </w:tc>
      </w:tr>
      <w:tr>
        <w:tc>
          <w:tcPr>
            <w:tcW w:type="dxa" w:w="1728"/>
          </w:tcPr>
          <w:p>
            <w:r>
              <w:t>10:55–12:45</w:t>
            </w:r>
          </w:p>
        </w:tc>
        <w:tc>
          <w:tcPr>
            <w:tcW w:type="dxa" w:w="1728"/>
          </w:tcPr>
          <w:p>
            <w:r>
              <w:t>110 min</w:t>
            </w:r>
          </w:p>
        </w:tc>
        <w:tc>
          <w:tcPr>
            <w:tcW w:type="dxa" w:w="1728"/>
          </w:tcPr>
          <w:p>
            <w:r>
              <w:t>Hypothesis testing, two-sample comparisons and one-way ANOVA</w:t>
            </w:r>
          </w:p>
        </w:tc>
        <w:tc>
          <w:tcPr>
            <w:tcW w:type="dxa" w:w="1728"/>
          </w:tcPr>
          <w:p>
            <w:r>
              <w:t>Worked examples and Lab 2</w:t>
            </w:r>
          </w:p>
        </w:tc>
        <w:tc>
          <w:tcPr>
            <w:tcW w:type="dxa" w:w="1728"/>
          </w:tcPr>
          <w:p>
            <w:r>
              <w:t>Lab 2: slides 38–39</w:t>
            </w:r>
          </w:p>
        </w:tc>
      </w:tr>
      <w:tr>
        <w:tc>
          <w:tcPr>
            <w:tcW w:type="dxa" w:w="1728"/>
            <w:shd w:val="clear" w:color="auto" w:fill="FFF7E6"/>
          </w:tcPr>
          <w:p>
            <w:r>
              <w:t>12:45–13:15</w:t>
            </w:r>
          </w:p>
        </w:tc>
        <w:tc>
          <w:tcPr>
            <w:tcW w:type="dxa" w:w="1728"/>
            <w:shd w:val="clear" w:color="auto" w:fill="FFF7E6"/>
          </w:tcPr>
          <w:p>
            <w:r>
              <w:t>30 min</w:t>
            </w:r>
          </w:p>
        </w:tc>
        <w:tc>
          <w:tcPr>
            <w:tcW w:type="dxa" w:w="1728"/>
            <w:shd w:val="clear" w:color="auto" w:fill="FFF7E6"/>
          </w:tcPr>
          <w:p>
            <w:r>
              <w:t>Lunch</w:t>
            </w:r>
          </w:p>
        </w:tc>
        <w:tc>
          <w:tcPr>
            <w:tcW w:type="dxa" w:w="1728"/>
            <w:shd w:val="clear" w:color="auto" w:fill="FFF7E6"/>
          </w:tcPr>
          <w:p>
            <w:r>
              <w:t>Break</w:t>
            </w:r>
          </w:p>
        </w:tc>
        <w:tc>
          <w:tcPr>
            <w:tcW w:type="dxa" w:w="1728"/>
            <w:shd w:val="clear" w:color="auto" w:fill="FFF7E6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13:15–15:05</w:t>
            </w:r>
          </w:p>
        </w:tc>
        <w:tc>
          <w:tcPr>
            <w:tcW w:type="dxa" w:w="1728"/>
          </w:tcPr>
          <w:p>
            <w:r>
              <w:t>110 min</w:t>
            </w:r>
          </w:p>
        </w:tc>
        <w:tc>
          <w:tcPr>
            <w:tcW w:type="dxa" w:w="1728"/>
          </w:tcPr>
          <w:p>
            <w:r>
              <w:t>Topic 2: 2² and 2³ factorial designs</w:t>
            </w:r>
          </w:p>
        </w:tc>
        <w:tc>
          <w:tcPr>
            <w:tcW w:type="dxa" w:w="1728"/>
          </w:tcPr>
          <w:p>
            <w:r>
              <w:t>Effects, interaction, regression; Labs 3–4</w:t>
            </w:r>
          </w:p>
        </w:tc>
        <w:tc>
          <w:tcPr>
            <w:tcW w:type="dxa" w:w="1728"/>
          </w:tcPr>
          <w:p>
            <w:r>
              <w:t>Slides 41–75; Lab 3: slides 69–70</w:t>
            </w:r>
          </w:p>
        </w:tc>
      </w:tr>
      <w:tr>
        <w:tc>
          <w:tcPr>
            <w:tcW w:type="dxa" w:w="1728"/>
          </w:tcPr>
          <w:p>
            <w:r>
              <w:t>15:05–16:30</w:t>
            </w:r>
          </w:p>
        </w:tc>
        <w:tc>
          <w:tcPr>
            <w:tcW w:type="dxa" w:w="1728"/>
          </w:tcPr>
          <w:p>
            <w:r>
              <w:t>85 min</w:t>
            </w:r>
          </w:p>
        </w:tc>
        <w:tc>
          <w:tcPr>
            <w:tcW w:type="dxa" w:w="1728"/>
          </w:tcPr>
          <w:p>
            <w:r>
              <w:t>ANOVA, centre points, replication and blocking</w:t>
            </w:r>
          </w:p>
        </w:tc>
        <w:tc>
          <w:tcPr>
            <w:tcW w:type="dxa" w:w="1728"/>
          </w:tcPr>
          <w:p>
            <w:r>
              <w:t>Worked analysis and Lab 5</w:t>
            </w:r>
          </w:p>
        </w:tc>
        <w:tc>
          <w:tcPr>
            <w:tcW w:type="dxa" w:w="1728"/>
          </w:tcPr>
          <w:p>
            <w:r>
              <w:t>Lab 5: slides 73–74</w:t>
            </w:r>
          </w:p>
        </w:tc>
      </w:tr>
      <w:tr>
        <w:tc>
          <w:tcPr>
            <w:tcW w:type="dxa" w:w="1728"/>
          </w:tcPr>
          <w:p>
            <w:r>
              <w:t>16:30–17:30</w:t>
            </w:r>
          </w:p>
        </w:tc>
        <w:tc>
          <w:tcPr>
            <w:tcW w:type="dxa" w:w="1728"/>
          </w:tcPr>
          <w:p>
            <w:r>
              <w:t>60 min</w:t>
            </w:r>
          </w:p>
        </w:tc>
        <w:tc>
          <w:tcPr>
            <w:tcW w:type="dxa" w:w="1728"/>
          </w:tcPr>
          <w:p>
            <w:r>
              <w:t>Day 1 integration and evidence review</w:t>
            </w:r>
          </w:p>
        </w:tc>
        <w:tc>
          <w:tcPr>
            <w:tcW w:type="dxa" w:w="1728"/>
          </w:tcPr>
          <w:p>
            <w:r>
              <w:t>Recap, interpretation and feedback</w:t>
            </w:r>
          </w:p>
        </w:tc>
        <w:tc>
          <w:tcPr>
            <w:tcW w:type="dxa" w:w="1728"/>
          </w:tcPr>
          <w:p>
            <w:r>
              <w:t>Admin / recap slides</w:t>
            </w:r>
          </w:p>
        </w:tc>
      </w:tr>
    </w:tbl>
    <w:p>
      <w:r>
        <w:t>Day 1 instructional total: 450 minutes (7.5 hours, 9:30am – 5:30pm; the 30-minute lunch is excluded).</w:t>
      </w:r>
    </w:p>
    <w:p>
      <w:pPr>
        <w:pStyle w:val="Heading1"/>
      </w:pPr>
      <w:r>
        <w:t>Day 2: Fractional screening and optimisation (9:30am – 5:30pm)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F6FEB"/>
          </w:tcPr>
          <w:p>
            <w:r>
              <w:rPr>
                <w:b/>
                <w:color w:val="FFFFFF"/>
              </w:rPr>
              <w:t>Time</w:t>
            </w:r>
          </w:p>
        </w:tc>
        <w:tc>
          <w:tcPr>
            <w:tcW w:type="dxa" w:w="1728"/>
            <w:shd w:val="clear" w:color="auto" w:fill="1F6FEB"/>
          </w:tcPr>
          <w:p>
            <w:r>
              <w:rPr>
                <w:b/>
                <w:color w:val="FFFFFF"/>
              </w:rPr>
              <w:t>Duration</w:t>
            </w:r>
          </w:p>
        </w:tc>
        <w:tc>
          <w:tcPr>
            <w:tcW w:type="dxa" w:w="1728"/>
            <w:shd w:val="clear" w:color="auto" w:fill="1F6FEB"/>
          </w:tcPr>
          <w:p>
            <w:r>
              <w:rPr>
                <w:b/>
                <w:color w:val="FFFFFF"/>
              </w:rPr>
              <w:t>Topic / Activity</w:t>
            </w:r>
          </w:p>
        </w:tc>
        <w:tc>
          <w:tcPr>
            <w:tcW w:type="dxa" w:w="1728"/>
            <w:shd w:val="clear" w:color="auto" w:fill="1F6FEB"/>
          </w:tcPr>
          <w:p>
            <w:r>
              <w:rPr>
                <w:b/>
                <w:color w:val="FFFFFF"/>
              </w:rPr>
              <w:t>Method / Evidence</w:t>
            </w:r>
          </w:p>
        </w:tc>
        <w:tc>
          <w:tcPr>
            <w:tcW w:type="dxa" w:w="1728"/>
            <w:shd w:val="clear" w:color="auto" w:fill="1F6FEB"/>
          </w:tcPr>
          <w:p>
            <w:r>
              <w:rPr>
                <w:b/>
                <w:color w:val="FFFFFF"/>
              </w:rPr>
              <w:t>Slide Mapping</w:t>
            </w:r>
          </w:p>
        </w:tc>
      </w:tr>
      <w:tr>
        <w:tc>
          <w:tcPr>
            <w:tcW w:type="dxa" w:w="1728"/>
          </w:tcPr>
          <w:p>
            <w:r>
              <w:t>09:30–11:25</w:t>
            </w:r>
          </w:p>
        </w:tc>
        <w:tc>
          <w:tcPr>
            <w:tcW w:type="dxa" w:w="1728"/>
          </w:tcPr>
          <w:p>
            <w:r>
              <w:t>115 min</w:t>
            </w:r>
          </w:p>
        </w:tc>
        <w:tc>
          <w:tcPr>
            <w:tcW w:type="dxa" w:w="1728"/>
          </w:tcPr>
          <w:p>
            <w:r>
              <w:t>Topic 3: Fractional factorial designs</w:t>
            </w:r>
          </w:p>
        </w:tc>
        <w:tc>
          <w:tcPr>
            <w:tcW w:type="dxa" w:w="1728"/>
          </w:tcPr>
          <w:p>
            <w:r>
              <w:t>Generators, aliases, resolution and Lab 6</w:t>
            </w:r>
          </w:p>
        </w:tc>
        <w:tc>
          <w:tcPr>
            <w:tcW w:type="dxa" w:w="1728"/>
          </w:tcPr>
          <w:p>
            <w:r>
              <w:t>Slides 77–107; Lab 6: slides 103–104</w:t>
            </w:r>
          </w:p>
        </w:tc>
      </w:tr>
      <w:tr>
        <w:tc>
          <w:tcPr>
            <w:tcW w:type="dxa" w:w="1728"/>
          </w:tcPr>
          <w:p>
            <w:r>
              <w:t>11:25–12:45</w:t>
            </w:r>
          </w:p>
        </w:tc>
        <w:tc>
          <w:tcPr>
            <w:tcW w:type="dxa" w:w="1728"/>
          </w:tcPr>
          <w:p>
            <w:r>
              <w:t>80 min</w:t>
            </w:r>
          </w:p>
        </w:tc>
        <w:tc>
          <w:tcPr>
            <w:tcW w:type="dxa" w:w="1728"/>
          </w:tcPr>
          <w:p>
            <w:r>
              <w:t>Screening and sequential experimentation</w:t>
            </w:r>
          </w:p>
        </w:tc>
        <w:tc>
          <w:tcPr>
            <w:tcW w:type="dxa" w:w="1728"/>
          </w:tcPr>
          <w:p>
            <w:r>
              <w:t>Plackett-Burman, project selection and Lab 7</w:t>
            </w:r>
          </w:p>
        </w:tc>
        <w:tc>
          <w:tcPr>
            <w:tcW w:type="dxa" w:w="1728"/>
          </w:tcPr>
          <w:p>
            <w:r>
              <w:t>Lab 7: slides 105–106</w:t>
            </w:r>
          </w:p>
        </w:tc>
      </w:tr>
      <w:tr>
        <w:tc>
          <w:tcPr>
            <w:tcW w:type="dxa" w:w="1728"/>
            <w:shd w:val="clear" w:color="auto" w:fill="FFF7E6"/>
          </w:tcPr>
          <w:p>
            <w:r>
              <w:t>12:45–13:15</w:t>
            </w:r>
          </w:p>
        </w:tc>
        <w:tc>
          <w:tcPr>
            <w:tcW w:type="dxa" w:w="1728"/>
            <w:shd w:val="clear" w:color="auto" w:fill="FFF7E6"/>
          </w:tcPr>
          <w:p>
            <w:r>
              <w:t>30 min</w:t>
            </w:r>
          </w:p>
        </w:tc>
        <w:tc>
          <w:tcPr>
            <w:tcW w:type="dxa" w:w="1728"/>
            <w:shd w:val="clear" w:color="auto" w:fill="FFF7E6"/>
          </w:tcPr>
          <w:p>
            <w:r>
              <w:t>Lunch</w:t>
            </w:r>
          </w:p>
        </w:tc>
        <w:tc>
          <w:tcPr>
            <w:tcW w:type="dxa" w:w="1728"/>
            <w:shd w:val="clear" w:color="auto" w:fill="FFF7E6"/>
          </w:tcPr>
          <w:p>
            <w:r>
              <w:t>Break</w:t>
            </w:r>
          </w:p>
        </w:tc>
        <w:tc>
          <w:tcPr>
            <w:tcW w:type="dxa" w:w="1728"/>
            <w:shd w:val="clear" w:color="auto" w:fill="FFF7E6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13:15–14:25</w:t>
            </w:r>
          </w:p>
        </w:tc>
        <w:tc>
          <w:tcPr>
            <w:tcW w:type="dxa" w:w="1728"/>
          </w:tcPr>
          <w:p>
            <w:r>
              <w:t>70 min</w:t>
            </w:r>
          </w:p>
        </w:tc>
        <w:tc>
          <w:tcPr>
            <w:tcW w:type="dxa" w:w="1728"/>
          </w:tcPr>
          <w:p>
            <w:r>
              <w:t>Screening and sequential experimentation (continued)</w:t>
            </w:r>
          </w:p>
        </w:tc>
        <w:tc>
          <w:tcPr>
            <w:tcW w:type="dxa" w:w="1728"/>
          </w:tcPr>
          <w:p>
            <w:r>
              <w:t>Sequential strategy, design review and Lab 7 debrief</w:t>
            </w:r>
          </w:p>
        </w:tc>
        <w:tc>
          <w:tcPr>
            <w:tcW w:type="dxa" w:w="1728"/>
          </w:tcPr>
          <w:p>
            <w:r>
              <w:t>Topic 3 recap</w:t>
            </w:r>
          </w:p>
        </w:tc>
      </w:tr>
      <w:tr>
        <w:tc>
          <w:tcPr>
            <w:tcW w:type="dxa" w:w="1728"/>
          </w:tcPr>
          <w:p>
            <w:r>
              <w:t>14:25–16:15</w:t>
            </w:r>
          </w:p>
        </w:tc>
        <w:tc>
          <w:tcPr>
            <w:tcW w:type="dxa" w:w="1728"/>
          </w:tcPr>
          <w:p>
            <w:r>
              <w:t>110 min</w:t>
            </w:r>
          </w:p>
        </w:tc>
        <w:tc>
          <w:tcPr>
            <w:tcW w:type="dxa" w:w="1728"/>
          </w:tcPr>
          <w:p>
            <w:r>
              <w:t>Topic 4: RSM, CCD, mixtures and Taguchi</w:t>
            </w:r>
          </w:p>
        </w:tc>
        <w:tc>
          <w:tcPr>
            <w:tcW w:type="dxa" w:w="1728"/>
          </w:tcPr>
          <w:p>
            <w:r>
              <w:t>Labs 8–10 and model interpretation</w:t>
            </w:r>
          </w:p>
        </w:tc>
        <w:tc>
          <w:tcPr>
            <w:tcW w:type="dxa" w:w="1728"/>
          </w:tcPr>
          <w:p>
            <w:r>
              <w:t>Slides 108–142; Lab 8: slides 136–137</w:t>
            </w:r>
          </w:p>
        </w:tc>
      </w:tr>
      <w:tr>
        <w:tc>
          <w:tcPr>
            <w:tcW w:type="dxa" w:w="1728"/>
          </w:tcPr>
          <w:p>
            <w:r>
              <w:t>16:15–17:30</w:t>
            </w:r>
          </w:p>
        </w:tc>
        <w:tc>
          <w:tcPr>
            <w:tcW w:type="dxa" w:w="1728"/>
          </w:tcPr>
          <w:p>
            <w:r>
              <w:t>75 min</w:t>
            </w:r>
          </w:p>
        </w:tc>
        <w:tc>
          <w:tcPr>
            <w:tcW w:type="dxa" w:w="1728"/>
          </w:tcPr>
          <w:p>
            <w:r>
              <w:t>Evaluate effectiveness and recommend follow-up</w:t>
            </w:r>
          </w:p>
        </w:tc>
        <w:tc>
          <w:tcPr>
            <w:tcW w:type="dxa" w:w="1728"/>
          </w:tcPr>
          <w:p>
            <w:r>
              <w:t>Confirmation, limitations, recap and course feedback</w:t>
            </w:r>
          </w:p>
        </w:tc>
        <w:tc>
          <w:tcPr>
            <w:tcW w:type="dxa" w:w="1728"/>
          </w:tcPr>
          <w:p>
            <w:r>
              <w:t>Wrap-up / feedback slides</w:t>
            </w:r>
          </w:p>
        </w:tc>
      </w:tr>
    </w:tbl>
    <w:p>
      <w:r>
        <w:t>Day 2 instructional total: 450 minutes (7.5 hours, 9:30am – 5:30pm; the 30-minute lunch is excluded).</w:t>
      </w:r>
    </w:p>
    <w:sectPr w:rsidR="00FC693F" w:rsidRPr="0006063C" w:rsidSect="00034616"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B66"/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55B66"/>
        <w:sz w:val="18"/>
      </w:rPr>
      <w:t xml:space="preserve"> of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  <w:p>
    <w:pPr>
      <w:jc w:val="center"/>
    </w:pPr>
    <w:r>
      <w:rPr>
        <w:color w:val="555B66"/>
        <w:sz w:val="15"/>
      </w:rPr>
      <w:t>© 2026 Tertiary Infotech Academy Pte Ltd. All rights reserved.  ·  www.tertiarycourses.com.sg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6FE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LP-Design of Experiment (DOE) Masterclass (C950)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