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GenAI for Engineers — Lesson Plan</w:t>
      </w:r>
    </w:p>
    <w:p>
      <w:pPr>
        <w:pStyle w:val="Subtitle"/>
      </w:pPr>
      <w:r>
        <w:t>IES | v4.0 | Aligned to supplied v2 PUB Feedback structure</w:t>
      </w:r>
    </w:p>
    <w:p>
      <w:pPr>
        <w:spacing w:after="100"/>
      </w:pPr>
      <w:r>
        <w:t>Course duration: one day, 09:00–17:00. 390 teaching minutes, 60-minute lunch and two 15-minute tea breaks. Delivery is instructor-led and activity-based. No prior FMEA, DMAIC or SPC background is assumed.</w:t>
      </w:r>
    </w:p>
    <w:p>
      <w:pPr>
        <w:pStyle w:val="Heading1"/>
      </w:pPr>
      <w:r>
        <w:t>Learning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LO</w:t>
            </w:r>
          </w:p>
        </w:tc>
        <w:tc>
          <w:tcPr>
            <w:tcW w:type="dxa" w:w="508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LO1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Explain FMEA, Six Sigma/DMAIC and SPC before applying them.</w:t>
            </w:r>
          </w:p>
        </w:tc>
      </w:tr>
      <w:tr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LO2</w:t>
            </w:r>
          </w:p>
        </w:tc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Automate engineering documents and analyses with Copilot in Word, Excel and PowerPoint.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LO3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Apply R.I.S.E. and E-MAP with iterative prompting.</w:t>
            </w:r>
          </w:p>
        </w:tc>
      </w:tr>
      <w:tr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LO4</w:t>
            </w:r>
          </w:p>
        </w:tc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Build and deploy a multi-step Copilot Agent.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LO5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Use Researcher and Analyst for cited research and data analysis.</w:t>
            </w:r>
          </w:p>
        </w:tc>
      </w:tr>
      <w:tr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LO6</w:t>
            </w:r>
          </w:p>
        </w:tc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Ground an agent on SharePoint with cited, traceable answers.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LO7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Apply the complete 7-Step AI Security Framework.</w:t>
            </w:r>
          </w:p>
        </w:tc>
      </w:tr>
    </w:tbl>
    <w:p>
      <w:pPr>
        <w:pStyle w:val="Heading1"/>
      </w:pPr>
      <w:r>
        <w:t>Detailed lesson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3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03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PPT</w:t>
            </w:r>
          </w:p>
        </w:tc>
        <w:tc>
          <w:tcPr>
            <w:tcW w:type="dxa" w:w="203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Content and activity</w:t>
            </w:r>
          </w:p>
        </w:tc>
        <w:tc>
          <w:tcPr>
            <w:tcW w:type="dxa" w:w="203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LO</w:t>
            </w:r>
          </w:p>
        </w:tc>
      </w:tr>
      <w:tr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09:00–10:00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 · Copilot ecosystem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Slides 5–25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Ecosystem, productivity, CW-401 case; access check; AI-vs-engineer challenge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LO2, LO3</w:t>
            </w:r>
          </w:p>
        </w:tc>
      </w:tr>
      <w:tr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10:00–11:15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2 · Prompting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Slides 26–55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RISE, E-MAP, constraints, iterative prompting, personas/debate; Word and PowerPoint document demos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LO2, LO3</w:t>
            </w:r>
          </w:p>
        </w:tc>
      </w:tr>
      <w:tr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11:15–11:30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Tea break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—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Break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—</w:t>
            </w:r>
          </w:p>
        </w:tc>
      </w:tr>
      <w:tr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11:30–13:00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3 · FMEA → DMAIC → SPC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Slides 60–98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Primer 3.0; Lab 3.1 FMEA; Lab 3.2 DMAIC; Lab 3.3 SPC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LO1, LO2, LO3</w:t>
            </w:r>
          </w:p>
        </w:tc>
      </w:tr>
      <w:tr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13:00–14:00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Lunch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—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Break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—</w:t>
            </w:r>
          </w:p>
        </w:tc>
      </w:tr>
      <w:tr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14:00–15:15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4 · Agents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Slides 95–124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FMEA Agent multi-step build/test; Report Writer/recurring workflow; Researcher and Analyst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LO4, LO5</w:t>
            </w:r>
          </w:p>
        </w:tc>
      </w:tr>
      <w:tr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15:15–15:30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Tea break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—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Break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—</w:t>
            </w:r>
          </w:p>
        </w:tc>
      </w:tr>
      <w:tr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15:30–16:15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5 · SharePoint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Slides 125–143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Knowledge library; folder-scoped agent; citations, permissions and checked handoff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LO6</w:t>
            </w:r>
          </w:p>
        </w:tc>
      </w:tr>
      <w:tr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16:15–16:45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6 · AI security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Slides 144–156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Apply seven controls and consolidate personal toolkit</w:t>
            </w:r>
          </w:p>
        </w:tc>
        <w:tc>
          <w:tcPr>
            <w:tcW w:type="dxa" w:w="203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LO7</w:t>
            </w:r>
          </w:p>
        </w:tc>
      </w:tr>
      <w:tr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16:45–17:00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Closing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Slides 157–162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Outcome review, next action and Q&amp;A</w:t>
            </w:r>
          </w:p>
        </w:tc>
        <w:tc>
          <w:tcPr>
            <w:tcW w:type="dxa" w:w="203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All</w:t>
            </w:r>
          </w:p>
        </w:tc>
      </w:tr>
    </w:tbl>
    <w:p>
      <w:r>
        <w:br w:type="page"/>
      </w:r>
    </w:p>
    <w:p>
      <w:pPr>
        <w:pStyle w:val="Heading1"/>
      </w:pPr>
      <w:r>
        <w:t>Module 3 methodology and lab allocation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2541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Concepts taught before activity</w:t>
            </w:r>
          </w:p>
        </w:tc>
        <w:tc>
          <w:tcPr>
            <w:tcW w:type="dxa" w:w="2541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Guided activity</w:t>
            </w:r>
          </w:p>
        </w:tc>
        <w:tc>
          <w:tcPr>
            <w:tcW w:type="dxa" w:w="2541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FMEA</w:t>
            </w:r>
          </w:p>
        </w:tc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Purpose/use; function, mode, effect, cause, control; S/O/D; RPN; severity gate; action lifecycle</w:t>
            </w:r>
          </w:p>
        </w:tc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Lab 3.1 · 30 min</w:t>
            </w:r>
          </w:p>
        </w:tc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FM-01 = 140; FM-02 = 192; FM-04 escalates on Severity 9; ranked table and RPN chart</w:t>
            </w:r>
          </w:p>
        </w:tc>
      </w:tr>
      <w:tr>
        <w:tc>
          <w:tcPr>
            <w:tcW w:type="dxa" w:w="2541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DMAIC</w:t>
            </w:r>
          </w:p>
        </w:tc>
        <w:tc>
          <w:tcPr>
            <w:tcW w:type="dxa" w:w="2541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Six Sigma; five phases; Pareto; fishbone/Ishikawa; 5-Whys; facts separated from hypotheses</w:t>
            </w:r>
          </w:p>
        </w:tc>
        <w:tc>
          <w:tcPr>
            <w:tcW w:type="dxa" w:w="2541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Lab 3.2 · 30 min</w:t>
            </w:r>
          </w:p>
        </w:tc>
        <w:tc>
          <w:tcPr>
            <w:tcW w:type="dxa" w:w="2541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36/400 = 9.00% vs 7/200 = 3.50%; change stated as 5.50 percentage points; Pareto chart</w:t>
            </w:r>
          </w:p>
        </w:tc>
      </w:tr>
      <w:tr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SPC</w:t>
            </w:r>
          </w:p>
        </w:tc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Chart anatomy; common vs special cause; limits from a frozen baseline; control vs specification limits; Cp and Cpk</w:t>
            </w:r>
          </w:p>
        </w:tc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Lab 3.3 · 30 min</w:t>
            </w:r>
          </w:p>
        </w:tc>
        <w:tc>
          <w:tcPr>
            <w:tcW w:type="dxa" w:w="2541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Subgroup 13 Xbar = 61.275 below LCL 61.547; Cp &gt;&gt; Cpk read as off centre, not incapable</w:t>
            </w:r>
          </w:p>
        </w:tc>
      </w:tr>
    </w:tbl>
    <w:p>
      <w:pPr>
        <w:spacing w:after="100"/>
      </w:pPr>
      <w:r>
        <w:t>The classroom-case order is fixed: FMEA → DMAIC → SPC. These methods answer different questions and are not a universal lifecycle. Every concept is explained before the corresponding Copilot application. Module 3 stops at 13:00.</w:t>
      </w:r>
    </w:p>
    <w:p>
      <w:pPr>
        <w:pStyle w:val="Heading1"/>
      </w:pPr>
      <w:r>
        <w:t>Copilot integration across the 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389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Copilot integration</w:t>
            </w:r>
          </w:p>
        </w:tc>
        <w:tc>
          <w:tcPr>
            <w:tcW w:type="dxa" w:w="3389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Human verification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1</w:t>
            </w:r>
          </w:p>
        </w:tc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Chat structures the pump brief; app selection</w:t>
            </w:r>
          </w:p>
        </w:tc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Facts, assumptions and evidence boundary</w:t>
            </w:r>
          </w:p>
        </w:tc>
      </w:tr>
      <w:tr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2</w:t>
            </w:r>
          </w:p>
        </w:tc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Word/PowerPoint document drafts using RISE/E-MAP</w:t>
            </w:r>
          </w:p>
        </w:tc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Requirements, criteria, units and approval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3</w:t>
            </w:r>
          </w:p>
        </w:tc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Excel calculations, tables and charts</w:t>
            </w:r>
          </w:p>
        </w:tc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RPN, rates, control limits and interpretation</w:t>
            </w:r>
          </w:p>
        </w:tc>
      </w:tr>
      <w:tr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4</w:t>
            </w:r>
          </w:p>
        </w:tc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FMEA Agent workflow; Researcher; Analyst</w:t>
            </w:r>
          </w:p>
        </w:tc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Negative tests, citations and four anchor values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5</w:t>
            </w:r>
          </w:p>
        </w:tc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SharePoint-grounded agent and cross-agent handoff</w:t>
            </w:r>
          </w:p>
        </w:tc>
        <w:tc>
          <w:tcPr>
            <w:tcW w:type="dxa" w:w="3389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Source passage, revision, permissions and audience</w:t>
            </w:r>
          </w:p>
        </w:tc>
      </w:tr>
      <w:tr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6</w:t>
            </w:r>
          </w:p>
        </w:tc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Security evidence log and release decision</w:t>
            </w:r>
          </w:p>
        </w:tc>
        <w:tc>
          <w:tcPr>
            <w:tcW w:type="dxa" w:w="3389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All seven controls and named sign-off</w:t>
            </w:r>
          </w:p>
        </w:tc>
      </w:tr>
    </w:tbl>
    <w:p>
      <w:pPr>
        <w:pStyle w:val="Heading1"/>
      </w:pPr>
      <w:r>
        <w:t>Assessment of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LO</w:t>
            </w:r>
          </w:p>
        </w:tc>
        <w:tc>
          <w:tcPr>
            <w:tcW w:type="dxa" w:w="5083"/>
            <w:shd w:fill="078897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Formative evidence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LO1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Correctly explains method purpose, terms and output.</w:t>
            </w:r>
          </w:p>
        </w:tc>
      </w:tr>
      <w:tr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LO2</w:t>
            </w:r>
          </w:p>
        </w:tc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Produces checked FMEA, DMAIC and SPC outputs and critiques Word/PPT drafts.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LO3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Labels RISE/E-MAP content and improves one prompt after checking.</w:t>
            </w:r>
          </w:p>
        </w:tc>
      </w:tr>
      <w:tr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LO4</w:t>
            </w:r>
          </w:p>
        </w:tc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Agent passes complete-row and missing-data tests.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LO5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Researcher citation opens; Analyst calculations reproduce.</w:t>
            </w:r>
          </w:p>
        </w:tc>
      </w:tr>
      <w:tr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LO6</w:t>
            </w:r>
          </w:p>
        </w:tc>
        <w:tc>
          <w:tcPr>
            <w:tcW w:type="dxa" w:w="5083"/>
            <w:shd w:fill="EAF3F4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Agent gives cited supported answer and preserves missing evidence.</w:t>
            </w:r>
          </w:p>
        </w:tc>
      </w:tr>
      <w:tr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LO7</w:t>
            </w:r>
          </w:p>
        </w:tc>
        <w:tc>
          <w:tcPr>
            <w:tcW w:type="dxa" w:w="5083"/>
            <w:shd w:fill="FFFFFF"/>
            <w:tcBorders>
              <w:top w:val="single" w:sz="4" w:color="C8D9DC"/>
              <w:left w:val="single" w:sz="4" w:color="C8D9DC"/>
              <w:bottom w:val="single" w:sz="4" w:color="C8D9DC"/>
              <w:right w:val="single" w:sz="4" w:color="C8D9DC"/>
              <w:insideH w:val="single" w:sz="4" w:color="C8D9DC"/>
              <w:insideV w:val="single" w:sz="4" w:color="C8D9DC"/>
            </w:tcBorders>
            <w:vAlign w:val="center"/>
          </w:tcPr>
          <w:p>
            <w:r>
              <w:rPr>
                <w:color w:val="102B3E"/>
                <w:sz w:val="17"/>
              </w:rPr>
              <w:t>Seven completed evidence rows and approve/revise/reject decision.</w:t>
            </w:r>
          </w:p>
        </w:tc>
      </w:tr>
    </w:tbl>
    <w:p>
      <w:r>
        <w:br w:type="page"/>
      </w:r>
    </w:p>
    <w:p>
      <w:pPr>
        <w:pStyle w:val="Heading1"/>
      </w:pPr>
      <w:r>
        <w:t>Resources</w:t>
      </w:r>
    </w:p>
    <w:p>
      <w:pPr>
        <w:pStyle w:val="ListBullet"/>
        <w:spacing w:after="40"/>
      </w:pPr>
      <w:r>
        <w:t>PPT/PDF: 186 slides; slides 1–162 support the timed route, 163–186 are optional quick references.</w:t>
      </w:r>
    </w:p>
    <w:p>
      <w:pPr>
        <w:pStyle w:val="ListBullet"/>
        <w:spacing w:after="40"/>
      </w:pPr>
      <w:r>
        <w:t>Learner Guide: detailed concepts, procedures, prompts, checks and Microsoft links.</w:t>
      </w:r>
    </w:p>
    <w:p>
      <w:pPr>
        <w:pStyle w:val="ListBullet"/>
        <w:spacing w:after="40"/>
      </w:pPr>
      <w:r>
        <w:t>Facilitator Guide: timing, teaching points, expected outputs, misconceptions and fallbacks.</w:t>
      </w:r>
    </w:p>
    <w:p>
      <w:pPr>
        <w:pStyle w:val="ListBullet"/>
        <w:spacing w:after="40"/>
      </w:pPr>
      <w:r>
        <w:t>Sixteen Lesson Plan activity folders: each has a PDF, prompt, synthetic mock data and acceptance checks; Labs 3.1 and 3.2 also contain Excel workbooks.</w:t>
      </w:r>
    </w:p>
    <w:p>
      <w:pPr>
        <w:pStyle w:val="ListBullet"/>
        <w:spacing w:after="40"/>
      </w:pPr>
      <w:r>
        <w:t>Trainer demonstration pack: agent, reasoning-agent, SharePoint and security resources.</w:t>
      </w:r>
    </w:p>
    <w:p>
      <w:pPr>
        <w:pStyle w:val="Heading1"/>
      </w:pPr>
      <w:r>
        <w:t>Quality and contingency rules</w:t>
      </w:r>
    </w:p>
    <w:p>
      <w:pPr>
        <w:pStyle w:val="ListBullet"/>
        <w:spacing w:after="40"/>
      </w:pPr>
      <w:r>
        <w:t>Module divider slides are full-page separators and contain no learning-content cards.</w:t>
      </w:r>
    </w:p>
    <w:p>
      <w:pPr>
        <w:pStyle w:val="ListBullet"/>
        <w:spacing w:after="40"/>
      </w:pPr>
      <w:r>
        <w:t>Use visuals to explain mechanisms; use the Learner Guide for click-by-click procedures.</w:t>
      </w:r>
    </w:p>
    <w:p>
      <w:pPr>
        <w:pStyle w:val="ListBullet"/>
        <w:spacing w:after="40"/>
      </w:pPr>
      <w:r>
        <w:t>Keep all activities inside their published module time boxes; use reference slides selectively.</w:t>
      </w:r>
    </w:p>
    <w:p>
      <w:pPr>
        <w:pStyle w:val="ListBullet"/>
        <w:spacing w:after="40"/>
      </w:pPr>
      <w:r>
        <w:t>If live Copilot access fails, use the worked reference and complete the same independent check.</w:t>
      </w:r>
    </w:p>
    <w:p>
      <w:pPr>
        <w:pStyle w:val="ListBullet"/>
        <w:spacing w:after="40"/>
      </w:pPr>
      <w:r>
        <w:t>All case data are synthetic. IES is the only provider branding.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36A78"/>
        <w:sz w:val="16"/>
      </w:rPr>
      <w:t>IES  |  Training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78897"/>
        <w:sz w:val="16"/>
      </w:rPr>
      <w:t>IES  |  GENAI FOR ENGINEERS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B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B3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7889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02B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B3E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36A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