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v3.1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p>
      <w:pPr>
        <w:pStyle w:val="Heading2"/>
      </w:pPr>
      <w:r>
        <w:t>Presentation teaching sequence — v3.1</w:t>
      </w:r>
    </w:p>
    <w:p>
      <w:r>
        <w:t>Module 1 introduces AI, Copilot and the pump case before workbook names. Module 2 moves from a vague prompt to RISE, E-MAP, constraints and a worked persona challenge. Module 3 explains each method before its guided exercise. Modules 4–5 explain agents and grounding before demonstrations. Module 6 applies security checks and closes. The original clock times and 65-minute exercise total are unchanged.</w:t>
      </w:r>
    </w:p>
    <w:p>
      <w:r>
        <w:br w:type="page"/>
      </w:r>
    </w:p>
    <w:p>
      <w:pPr>
        <w:pStyle w:val="Heading1"/>
      </w:pPr>
      <w:r>
        <w:t>Using the expanded 185-slide deck</w:t>
      </w:r>
    </w:p>
    <w:p>
      <w:r>
        <w:t>Slides 1–64 are the one-day teaching route. Slide 65 introduces optional reference material. Slides 66–185 contain 30 worked examples; they are not additional scheduled labs. Keep the original six-module timetable and the 25/20/20-minute guided Excel exercises.</w:t>
      </w:r>
    </w:p>
    <w:p>
      <w:r>
        <w:t>Reference index: SPC: slides 66–97; FMEA: slides 98–121; DMAIC: slides 122–145; Prompting: slides 146–165; Agents: slides 166–173; Grounding: slides 174–181; Security: slides 182–185</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