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 Learner Guide</w:t>
      </w:r>
    </w:p>
    <w:p>
      <w:pPr>
        <w:pStyle w:val="Subtitle"/>
      </w:pPr>
      <w:r>
        <w:t>IES | v4.0 | Lesson-plan aligned | PPT slides 1–186</w:t>
      </w:r>
    </w:p>
    <w:p>
      <w:pPr>
        <w:spacing w:after="100"/>
      </w:pPr>
      <w:r>
        <w:t>This guide follows the supplied “Lesson Plan with Hands-On Labs (v2 — PUB Feedback)” module sequence, all 16 named activities and learning outcomes. Detailed procedures live here; the presentation uses concise visual explanations. The activity folders are short connected tasks inside the six module time boxes.</w:t>
      </w:r>
    </w:p>
    <w:p>
      <w:pPr>
        <w:pStyle w:val="Heading1"/>
      </w:pPr>
      <w:r>
        <w:t>Learning outcomes</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Outcome</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Learner evidence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LO1</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Explain FMEA, Six Sigma/DMAIC and SPC before applying them.</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LO2</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Automate engineering documents and analyses with Copilot in Word, Excel and PowerPoint.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LO3</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Apply R.I.S.E. and E-MAP with iterative prompting.</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LO4</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Build and deploy a multi-step Copilot Agent.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LO5</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Researcher and Analyst for cited research and data analysis.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LO6</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Ground an agent on SharePoint with cited, traceable answers.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LO7</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Apply the complete 7-Step AI Security Framework.</w:t>
            </w:r>
          </w:p>
        </w:tc>
      </w:tr>
    </w:tbl>
    <w:p>
      <w:pPr>
        <w:pStyle w:val="Heading1"/>
      </w:pPr>
      <w:r>
        <w:t>One-day course map</w:t>
      </w:r>
    </w:p>
    <w:tbl>
      <w:tblPr>
        <w:tblW w:type="auto" w:w="0"/>
        <w:jc w:val="center"/>
        <w:tblLayout w:type="autofit"/>
        <w:tblLook w:firstColumn="1" w:firstRow="1" w:lastColumn="0" w:lastRow="0" w:noHBand="0" w:noVBand="1" w:val="04A0"/>
      </w:tblPr>
      <w:tblGrid>
        <w:gridCol w:w="2541"/>
        <w:gridCol w:w="2541"/>
        <w:gridCol w:w="2541"/>
        <w:gridCol w:w="2541"/>
      </w:tblGrid>
      <w:tr>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Time</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Module</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PPT</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Primary activity</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09:00–10:00</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 · The Copilot Ecosystem for Engineers</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5–25</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Choose the right Copilot surface; complete access check and AI-vs-engineer challenge.</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10:00–11:15</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2 · Prompting for Engineering Documents</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26–55</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Apply R.I.S.E. and E-MAP, constraints, multi-persona review and iterative prompting.</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11:30–13:00</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3 · Engineering Methodology Primer &amp; Document Automation</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56–94</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Explain and apply FMEA → DMAIC → SPC with three small Copilot in Excel labs.</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14:00–15:15</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4 · Copilot Agents &amp; Microsoft 365 Reasoning Agents</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95–124</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Build and test a multi-step FMEA Agent; use Researcher and Analyst.</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15:30–16:15</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5 · SharePoint Integration with Copilot</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125–143</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Create/inspect a private knowledge base, ground an agent and verify citations.</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16:15–16:45</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6 · AI Security &amp; Engineering AI Toolkit</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144–156</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Apply all seven security controls and make a release decision.</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16:45–17:00</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Closing and Q&amp;A</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157–162</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Toolkit and next action</w:t>
            </w:r>
          </w:p>
        </w:tc>
      </w:tr>
    </w:tbl>
    <w:p>
      <w:pPr>
        <w:pStyle w:val="Heading2"/>
      </w:pPr>
      <w:r>
        <w:t>Lesson Plan activity map</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Module</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Named activities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1.1 Access check; Lab 1.2 AI versus Engineer</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2</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2.1 Technical specification; Lab 2.2 Engineering report; Lab 2.3 Risk assessment and method statement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3</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3.1 FMEA; Lab 3.2 DMAIC with SPC/Cp-Cpk; Lab 3.3 Technical specification pack</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4</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4.1 FMEA Assistant; Lab 4.2 Report Writer; Lab 4.3 Minutes workflow; Lab 4.4 Researcher and Analyst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5</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5.1 SharePoint knowledge agent; Lab 5.2 Grounded agent chain</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6</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6.1 Seven-step security; Lab 6.2 AI Engineering Toolkit</w:t>
            </w:r>
          </w:p>
        </w:tc>
      </w:tr>
    </w:tbl>
    <w:p>
      <w:r>
        <w:br w:type="page"/>
      </w:r>
    </w:p>
    <w:p>
      <w:pPr>
        <w:pStyle w:val="Heading1"/>
      </w:pPr>
      <w:r>
        <w:t>Module 1 — The Copilot Ecosystem for Engineers</w:t>
      </w:r>
    </w:p>
    <w:p>
      <w:pPr>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module-2-document-automation.png"/>
                    <pic:cNvPicPr/>
                  </pic:nvPicPr>
                  <pic:blipFill>
                    <a:blip r:embed="rId11"/>
                    <a:stretch>
                      <a:fillRect/>
                    </a:stretch>
                  </pic:blipFill>
                  <pic:spPr>
                    <a:xfrm>
                      <a:off x="0" y="0"/>
                      <a:ext cx="6309360" cy="3550902"/>
                    </a:xfrm>
                    <a:prstGeom prst="rect"/>
                  </pic:spPr>
                </pic:pic>
              </a:graphicData>
            </a:graphic>
          </wp:inline>
        </w:drawing>
      </w:r>
    </w:p>
    <w:p>
      <w:pPr>
        <w:spacing w:after="100"/>
      </w:pPr>
      <w:r>
        <w:t>Learning outcome: choose the appropriate Microsoft 365 Copilot surface for a required engineering output and state the engineer’s verification responsibility.</w:t>
      </w:r>
    </w:p>
    <w:p>
      <w:pPr>
        <w:pStyle w:val="Heading2"/>
      </w:pPr>
      <w:r>
        <w:t>AI, GenAI and Microsoft 365 Copilot</w:t>
      </w:r>
    </w:p>
    <w:p>
      <w:pPr>
        <w:spacing w:after="100"/>
      </w:pPr>
      <w:r>
        <w:t>Artificial intelligence performs tasks associated with human judgement. Generative AI creates a new draft from instructions and context. Microsoft 365 Copilot provides generative-AI assistance inside Microsoft 365 applications and through Copilot Chat and agents. A fluent answer is still a draft until its source, calculation and meaning are checked.</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Surface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Use it when the output is…</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Engineer verifies</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Copilot Chat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question, brief, plan or comparison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 assumptions and scope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Word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specification, report, SOP or method statement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Requirements, clauses, numbers and approval</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Excel</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table, formula, summary or chart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Rows, formulas, denominators and interpretation</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PowerPoint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decision story for an audience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Every value and conclusion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Agent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repeatable multi-step output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Instructions, tests, permissions and release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SharePoint agent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cited answer from internal documents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Source passage, revision and access</w:t>
            </w:r>
          </w:p>
        </w:tc>
      </w:tr>
    </w:tbl>
    <w:p>
      <w:pPr>
        <w:pStyle w:val="Heading2"/>
      </w:pPr>
      <w:r>
        <w:t>Activity 1.1 — onboarding and access check</w:t>
      </w:r>
    </w:p>
    <w:p>
      <w:pPr>
        <w:pStyle w:val="ListBullet"/>
        <w:spacing w:after="40"/>
      </w:pPr>
      <w:r>
        <w:t>Sign in at https://m365.cloud.microsoft/chat with the approved work or school account.</w:t>
      </w:r>
    </w:p>
    <w:p>
      <w:pPr>
        <w:pStyle w:val="ListBullet"/>
        <w:spacing w:after="40"/>
      </w:pPr>
      <w:r>
        <w:t>Open Word and Excel and confirm the Copilot control is available.</w:t>
      </w:r>
    </w:p>
    <w:p>
      <w:pPr>
        <w:pStyle w:val="ListBullet"/>
        <w:spacing w:after="40"/>
      </w:pPr>
      <w:r>
        <w:t>Open Agents in Microsoft 365 Copilot.</w:t>
      </w:r>
    </w:p>
    <w:p>
      <w:pPr>
        <w:pStyle w:val="ListBullet"/>
        <w:spacing w:after="40"/>
      </w:pPr>
      <w:r>
        <w:t>If a surface is unavailable after two minutes, record the limitation and use the trainer’s worked example or paired screen.</w:t>
      </w:r>
    </w:p>
    <w:p>
      <w:pPr>
        <w:pStyle w:val="Heading2"/>
      </w:pPr>
      <w:r>
        <w:t>Activity 1.2 — AI versus engineer challenge</w:t>
      </w:r>
    </w:p>
    <w:p>
      <w:pPr>
        <w:spacing w:after="100"/>
      </w:pPr>
      <w:r>
        <w:t>Input: “Later pump tests are low. The strainer was replaced. A verification check also occurred. Pilot results improved.”</w:t>
      </w:r>
    </w:p>
    <w:p>
      <w:pPr>
        <w:pStyle w:val="ListBullet"/>
        <w:spacing w:after="40"/>
      </w:pPr>
      <w:r>
        <w:t>One group manually separates facts, assumptions and questions.</w:t>
      </w:r>
    </w:p>
    <w:p>
      <w:pPr>
        <w:pStyle w:val="ListBullet"/>
        <w:spacing w:after="40"/>
      </w:pPr>
      <w:r>
        <w:t>One group asks Copilot Chat for the same structure.</w:t>
      </w:r>
    </w:p>
    <w:p>
      <w:pPr>
        <w:pStyle w:val="ListBullet"/>
        <w:spacing w:after="40"/>
      </w:pPr>
      <w:r>
        <w:t>Compare speed, completeness, unsupported claims and unanswered questions.</w:t>
      </w:r>
    </w:p>
    <w:p>
      <w:pPr>
        <w:pStyle w:val="ListBullet"/>
        <w:spacing w:after="40"/>
      </w:pPr>
      <w:r>
        <w:t>Accept only the statements that can be traced to the input.</w:t>
      </w:r>
    </w:p>
    <w:p>
      <w:r>
        <w:br w:type="page"/>
      </w:r>
    </w:p>
    <w:p>
      <w:pPr>
        <w:pStyle w:val="Heading2"/>
      </w:pPr>
      <w:r>
        <w:t>Your two class agents</w:t>
      </w:r>
    </w:p>
    <w:p>
      <w:pPr/>
      <w:r>
        <w:t>Two Microsoft 365 Copilot agents are shared with the class for the whole day. Both explain and teach; neither approves an engineering decision. Open them from Copilot Chat, then Agents.</w:t>
      </w:r>
    </w:p>
    <w:p>
      <w:pPr/>
      <w:r>
        <w:t>IES Engineering Methods Tutor — ask it anything about FMEA, DMAIC or SPC in your own words. Useful questions: why is a high Detection score bad news, what is the difference between percentage points and per cent, and why must control limits be frozen before monitoring.</w:t>
      </w:r>
    </w:p>
    <w:p>
      <w:pPr/>
      <w:r>
        <w:t>IES AI Security Advisor — ask it about safe and accountable AI use: PDPA and personal data in prompts, data leakage routes, data ownership, the data lifecycle, sensitivity labels, and who remains accountable when an agent does the work.</w:t>
      </w:r>
    </w:p>
    <w:p>
      <w:pPr/>
      <w:r>
        <w:t>Use them when you are stuck rather than guessing. Neither agent will do your lab for you; both will give you the method and a worked example and then ask you to try it.</w:t>
      </w:r>
    </w:p>
    <w:p>
      <w:pPr>
        <w:pStyle w:val="Heading1"/>
      </w:pPr>
      <w:r>
        <w:t>Module 2 — Prompting for Engineering Documents</w:t>
      </w:r>
    </w:p>
    <w:p>
      <w:pPr>
        <w:jc w:val="center"/>
      </w:pPr>
      <w:r>
        <w:drawing>
          <wp:inline xmlns:a="http://schemas.openxmlformats.org/drawingml/2006/main" xmlns:pic="http://schemas.openxmlformats.org/drawingml/2006/picture">
            <wp:extent cx="6309360" cy="3550902"/>
            <wp:docPr id="2" name="Picture 2"/>
            <wp:cNvGraphicFramePr>
              <a:graphicFrameLocks noChangeAspect="1"/>
            </wp:cNvGraphicFramePr>
            <a:graphic>
              <a:graphicData uri="http://schemas.openxmlformats.org/drawingml/2006/picture">
                <pic:pic>
                  <pic:nvPicPr>
                    <pic:cNvPr id="0" name="module-2-document-automation.png"/>
                    <pic:cNvPicPr/>
                  </pic:nvPicPr>
                  <pic:blipFill>
                    <a:blip r:embed="rId11"/>
                    <a:stretch>
                      <a:fillRect/>
                    </a:stretch>
                  </pic:blipFill>
                  <pic:spPr>
                    <a:xfrm>
                      <a:off x="0" y="0"/>
                      <a:ext cx="6309360" cy="3550902"/>
                    </a:xfrm>
                    <a:prstGeom prst="rect"/>
                  </pic:spPr>
                </pic:pic>
              </a:graphicData>
            </a:graphic>
          </wp:inline>
        </w:drawing>
      </w:r>
    </w:p>
    <w:p>
      <w:pPr>
        <w:spacing w:after="100"/>
      </w:pPr>
      <w:r>
        <w:t>Learning outcome: build and iteratively improve a reviewable engineering prompt using R.I.S.E., E-MAP, constraints, personas and acceptance tests.</w:t>
      </w:r>
    </w:p>
    <w:p>
      <w:pPr>
        <w:pStyle w:val="Heading2"/>
      </w:pPr>
      <w:r>
        <w:t>Why prompt engineering improves productivity</w:t>
      </w:r>
    </w:p>
    <w:p>
      <w:pPr>
        <w:spacing w:after="100"/>
      </w:pPr>
      <w:r>
        <w:t>Prompt engineering reduces clarification cycles, makes repeat work more consistent, exposes assumptions, and asks for evidence in a format that is faster to review. It cannot compensate for missing or poor-quality source data. The practical goal is a checked result with less rework.</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Principle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Question to answer</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Example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Purpose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decision or deliverable is needed?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Create a four-row FMEA review.</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exact source may be used?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only FMEAInput.</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Context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system, units and lifecycle apply?</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CW-401 delivery test in L/h.</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Steps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work must happen and in what order?</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Audit → calculate → chart → check.</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Constraints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must be preserved or avoided?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Do not alter ratings or claim cause.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Acceptance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will the output be checked?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FM01 RPN must equal 140.</w:t>
            </w:r>
          </w:p>
        </w:tc>
      </w:tr>
    </w:tbl>
    <w:p>
      <w:pPr>
        <w:pStyle w:val="Heading2"/>
      </w:pPr>
      <w:r>
        <w:t>R.I.S.E. framework</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Element</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Meaning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Engineering use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 — Role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Perspective and vocabulary</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“Act as an FMEA facilitator,” not an approving engineer.</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 — Input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 rows, revision and scope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only the named table and preserve source rows.</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 — Steps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Ordered calculations and operations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Audit, calculate, compare, present, check.</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 — Expectations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Format, limits and acceptance test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Show formulas; state unknowns; return a fixed table.</w:t>
            </w:r>
          </w:p>
        </w:tc>
      </w:tr>
    </w:tbl>
    <w:p>
      <w:pPr>
        <w:pStyle w:val="Heading2"/>
      </w:pPr>
      <w:r>
        <w:t>E-MAP framework</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Element</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Meaning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Example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 — Engineering</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System, function, lifecycle and decision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Chemical dosing skid; standardised delivery test.</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 — Metrics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Formula, units, target and denominator</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Deviation rate = deviations ÷ opportunities.</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 Assumptions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Known, unknown and provisional statements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Comparable test conditions are assumed and must be checked.</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 — Parameters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Limits, revision, operating conditions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Eight-row baseline; TR-401 revision 1.</w:t>
            </w:r>
          </w:p>
        </w:tc>
      </w:tr>
    </w:tbl>
    <w:p>
      <w:r>
        <w:br w:type="page"/>
      </w:r>
    </w:p>
    <w:p>
      <w:pPr>
        <w:pStyle w:val="Heading1"/>
      </w:pPr>
      <w:r>
        <w:t>Constraints and acceptance tests</w:t>
      </w:r>
    </w:p>
    <w:p>
      <w:pPr>
        <w:spacing w:after="100"/>
      </w:pPr>
      <w:r>
        <w:t>A useful constraint describes observable behaviour. “Be accurate” is difficult to test. “Preserve four supplied rows and ratings, show the RPN formula, flag Severity 9 or higher, and do not approve the design” is specific and reviewable.</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Constraint type</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Useful wording</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Data</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Preserve units, time order, missing values and source rows.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only named documents or tables; cite each factual claim.</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Calculation</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Show formulas, source ranges and parameters.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Decision</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Do not infer root cause, compliance, safety or approval.</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Output</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Return Observation | Evidence | Limitation | Next check.</w:t>
            </w:r>
          </w:p>
        </w:tc>
      </w:tr>
    </w:tbl>
    <w:p>
      <w:pPr>
        <w:pStyle w:val="Heading2"/>
      </w:pPr>
      <w:r>
        <w:t>Multiple personas and debate</w:t>
      </w:r>
    </w:p>
    <w:p>
      <w:pPr>
        <w:spacing w:after="100"/>
      </w:pPr>
      <w:r>
        <w:t>Personas are useful when each represents a real responsibility. Ask each persona to review the same evidence, challenge another persona, and preserve disagreement rather than forcing consensus.</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Run a two-round review. Reliability, Operations and Safety each state one claim with evidence. In round two, each challenges one other claim. Finish with agreed facts, unresolved disagreements and the smallest test that could resolve them. Do not force consensus.</w:t>
            </w:r>
          </w:p>
        </w:tc>
      </w:tr>
    </w:tbl>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Persona</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Review question</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Reliability</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failure mechanism is unsupported?</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Operations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operating or test condition may have changed?</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Safety</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must be checked before changing equipment or controls?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Quality</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criterion, record or calculation is missing?</w:t>
            </w:r>
          </w:p>
        </w:tc>
      </w:tr>
    </w:tbl>
    <w:p>
      <w:pPr>
        <w:pStyle w:val="Heading2"/>
      </w:pPr>
      <w:r>
        <w:t>Iterative prompting procedure</w:t>
      </w:r>
    </w:p>
    <w:p>
      <w:pPr>
        <w:pStyle w:val="ListBullet"/>
        <w:spacing w:after="40"/>
      </w:pPr>
      <w:r>
        <w:t>Run the initial RISE/E-MAP prompt.</w:t>
      </w:r>
    </w:p>
    <w:p>
      <w:pPr>
        <w:pStyle w:val="ListBullet"/>
        <w:spacing w:after="40"/>
      </w:pPr>
      <w:r>
        <w:t>Compare the output with one source passage, row and calculation.</w:t>
      </w:r>
    </w:p>
    <w:p>
      <w:pPr>
        <w:pStyle w:val="ListBullet"/>
        <w:spacing w:after="40"/>
      </w:pPr>
      <w:r>
        <w:t>Select one material error or omission.</w:t>
      </w:r>
    </w:p>
    <w:p>
      <w:pPr>
        <w:pStyle w:val="ListBullet"/>
        <w:spacing w:after="40"/>
      </w:pPr>
      <w:r>
        <w:t>Add one precise instruction that addresses that gap.</w:t>
      </w:r>
    </w:p>
    <w:p>
      <w:pPr>
        <w:pStyle w:val="ListBullet"/>
        <w:spacing w:after="40"/>
      </w:pPr>
      <w:r>
        <w:t>Rerun and compare only the affected section.</w:t>
      </w:r>
    </w:p>
    <w:p>
      <w:pPr>
        <w:pStyle w:val="ListBullet"/>
        <w:spacing w:after="40"/>
      </w:pPr>
      <w:r>
        <w:t>Record the correction and remaining limitation.</w:t>
      </w:r>
    </w:p>
    <w:p>
      <w:pPr>
        <w:pStyle w:val="Heading2"/>
      </w:pPr>
      <w:r>
        <w:t>Module 2 document demonstrations</w:t>
      </w:r>
    </w:p>
    <w:tbl>
      <w:tblPr>
        <w:tblW w:type="auto" w:w="0"/>
        <w:jc w:val="center"/>
        <w:tblLayout w:type="autofit"/>
        <w:tblLook w:firstColumn="1" w:firstRow="1" w:lastColumn="0" w:lastRow="0" w:noHBand="0" w:noVBand="1" w:val="04A0"/>
      </w:tblPr>
      <w:tblGrid>
        <w:gridCol w:w="2541"/>
        <w:gridCol w:w="2541"/>
        <w:gridCol w:w="2541"/>
        <w:gridCol w:w="2541"/>
      </w:tblGrid>
      <w:tr>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Output</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Copilot surface</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Prompt focus</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Required check</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Technical specification</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Word</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Requirements, tolerances, tests and clause checklist</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Every “shall” traces to an approved requirement</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Inspection report</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Word</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Observations, findings, recommendations and executive summary</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finding has a stated criterion</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Risk assessment + method statement</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Word</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E-MAP context, hazards, controls and safe sequence</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Approved matrix and competent-person sign-off</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Management summary</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PowerPoint</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One headline, chart, evidence, limitation and decision</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No value is introduced beyond checked sources</w:t>
            </w:r>
          </w:p>
        </w:tc>
      </w:tr>
    </w:tbl>
    <w:p>
      <w:r>
        <w:br w:type="page"/>
      </w:r>
    </w:p>
    <w:p>
      <w:pPr>
        <w:pStyle w:val="Heading1"/>
      </w:pPr>
      <w:r>
        <w:t>Module 3 — FMEA → DMAIC → SPC</w:t>
      </w:r>
    </w:p>
    <w:p>
      <w:pPr>
        <w:jc w:val="center"/>
      </w:pPr>
      <w:r>
        <w:drawing>
          <wp:inline xmlns:a="http://schemas.openxmlformats.org/drawingml/2006/main" xmlns:pic="http://schemas.openxmlformats.org/drawingml/2006/picture">
            <wp:extent cx="6309360" cy="3550902"/>
            <wp:docPr id="3" name="Picture 3"/>
            <wp:cNvGraphicFramePr>
              <a:graphicFrameLocks noChangeAspect="1"/>
            </wp:cNvGraphicFramePr>
            <a:graphic>
              <a:graphicData uri="http://schemas.openxmlformats.org/drawingml/2006/picture">
                <pic:pic>
                  <pic:nvPicPr>
                    <pic:cNvPr id="0" name="module-3-quality-methods.png"/>
                    <pic:cNvPicPr/>
                  </pic:nvPicPr>
                  <pic:blipFill>
                    <a:blip r:embed="rId12"/>
                    <a:stretch>
                      <a:fillRect/>
                    </a:stretch>
                  </pic:blipFill>
                  <pic:spPr>
                    <a:xfrm>
                      <a:off x="0" y="0"/>
                      <a:ext cx="6309360" cy="3550902"/>
                    </a:xfrm>
                    <a:prstGeom prst="rect"/>
                  </pic:spPr>
                </pic:pic>
              </a:graphicData>
            </a:graphic>
          </wp:inline>
        </w:drawing>
      </w:r>
    </w:p>
    <w:p>
      <w:pPr>
        <w:spacing w:after="100"/>
      </w:pPr>
      <w:r>
        <w:t>Learning outcome: explain each method in plain language, select the correct method for the engineering question, use Copilot in Excel to produce a small output, and independently verify one result.</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Sequence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Question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Primary output</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 · FMEA</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could fail and what needs attention?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Prioritised risk review and actions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2 · DMAIC</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do we investigate and improve performance?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 trail, pilot and control plan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3 · SPC</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Is process behaviour stable over time?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Control chart and investigation signals</w:t>
            </w:r>
          </w:p>
        </w:tc>
      </w:tr>
    </w:tbl>
    <w:p>
      <w:pPr>
        <w:pStyle w:val="Heading2"/>
      </w:pPr>
      <w:r>
        <w:t>FMEA — purpose and use</w:t>
      </w:r>
    </w:p>
    <w:p>
      <w:pPr>
        <w:spacing w:after="100"/>
      </w:pPr>
      <w:r>
        <w:t>Failure Mode and Effects Analysis is a structured, proactive review of potential failures. Engineers use it during design, commissioning, process change, operation and periodic review. It helps a multidisciplinary team make risk reasoning visible before a failure causes harm or disruption.</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FMEA field</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Question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CW-401 example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Function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must the item do?</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Deliver liquid</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Failure mode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could the function fail?</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Low delivery</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Effect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happens if it fails?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Incorrect dose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Possible cause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Why might it happen?</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Restricted strainer</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Current control</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prevents or detects it?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Delivery test</w:t>
            </w:r>
          </w:p>
        </w:tc>
      </w:tr>
    </w:tbl>
    <w:p>
      <w:r>
        <w:br w:type="page"/>
      </w:r>
    </w:p>
    <w:p>
      <w:pPr>
        <w:pStyle w:val="Heading1"/>
      </w:pPr>
      <w:r>
        <w:t>FMEA ratings and RPN</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Rating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Meaning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Review caution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Severity (S)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Seriousness of the effect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the agreed consequence scale.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Occurrence (O)</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Likelihood/frequency of the cause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evidence and a defined scale.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Detection (D)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Difficulty detecting before the effect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higher score means harder to detect.</w:t>
            </w:r>
          </w:p>
        </w:tc>
      </w:tr>
    </w:tbl>
    <w:p>
      <w:pPr>
        <w:spacing w:after="100"/>
      </w:pPr>
      <w:r>
        <w:t>RPN = Severity × Occurrence × Detection. For FM01, 7 × 5 × 4 = 140. RPN helps rank discussion. It is not a probability, legal acceptance criterion or safety approval. Apply severity gates separately: FM04 has RPN 90 but Severity 9 and therefore still requires review.</w:t>
      </w:r>
    </w:p>
    <w:p>
      <w:pPr>
        <w:pStyle w:val="Heading2"/>
      </w:pPr>
      <w:r>
        <w:t>Acting on FMEA results</w:t>
      </w:r>
    </w:p>
    <w:p>
      <w:pPr>
        <w:pStyle w:val="ListBullet"/>
        <w:spacing w:after="40"/>
      </w:pPr>
      <w:r>
        <w:t>Confirm system boundary, failure logic and rating evidence.</w:t>
      </w:r>
    </w:p>
    <w:p>
      <w:pPr>
        <w:pStyle w:val="ListBullet"/>
        <w:spacing w:after="40"/>
      </w:pPr>
      <w:r>
        <w:t>Rank RPNs and apply severity or regulatory gates.</w:t>
      </w:r>
    </w:p>
    <w:p>
      <w:pPr>
        <w:pStyle w:val="ListBullet"/>
        <w:spacing w:after="40"/>
      </w:pPr>
      <w:r>
        <w:t>Assign an action, owner, due date and required evidence.</w:t>
      </w:r>
    </w:p>
    <w:p>
      <w:pPr>
        <w:pStyle w:val="ListBullet"/>
        <w:spacing w:after="40"/>
      </w:pPr>
      <w:r>
        <w:t>Implement and verify the action.</w:t>
      </w:r>
    </w:p>
    <w:p>
      <w:pPr>
        <w:pStyle w:val="ListBullet"/>
        <w:spacing w:after="40"/>
      </w:pPr>
      <w:r>
        <w:t>Reassess residual S/O/D only after evidence exists.</w:t>
      </w:r>
    </w:p>
    <w:p>
      <w:pPr>
        <w:pStyle w:val="Heading2"/>
      </w:pPr>
      <w:r/>
      <w:r>
        <w:t>Lab 3.1 — FMEA document and RPN table (30 minutes)</w:t>
      </w:r>
    </w:p>
    <w:p>
      <w:pPr>
        <w:spacing w:after="100"/>
      </w:pPr>
      <w:r>
        <w:t>Open courseware/Labs/Lab-3.1-FMEA-Document/Starter.xlsx. Four failure modes for the CW-401 dosing skid are already rated for Severity, Occurrence and Detection. The RPN and Severity flag columns are deliberately empty. Read the Rating_Guide sheet before you start, and note that Detection is inverted: a high D means detection is poor.</w:t>
      </w:r>
    </w:p>
    <w:p>
      <w:pPr>
        <w:spacing w:after="100"/>
      </w:pPr>
      <w:r>
        <w:t>Step 1 — select the named table. Click any cell inside the FMEA table and confirm the Name Box shows FMEAInput. Copilot in Excel works far more reliably against a named table than a loose range, because the table tells it exactly where the data stops.</w:t>
      </w:r>
    </w:p>
    <w:p>
      <w:pPr>
        <w:spacing w:after="100"/>
      </w:pPr>
      <w:r>
        <w:t>Step 2 — open Copilot and paste the prompt. On the Home ribbon click Copilot. Paste the whole prompt from Lab-3.1-Prompt.pdf. The prompt names the table explicitly and forbids outside knowledge; that single instruction is what stops Copilot inventing a fifth failure mode.</w:t>
      </w:r>
    </w:p>
    <w:p>
      <w:pPr>
        <w:spacing w:after="100"/>
      </w:pPr>
      <w:r>
        <w:t>Step 3 — check the RPN arithmetic by hand before accepting it. FM-01 is 7 × 5 × 4 = 140. FM-02 is 8 × 4 × 6 = 192, the highest of the four. If Copilot shows a different number, or shows no arithmetic at all, reject the answer and ask it to show the multiplication per row.</w:t>
      </w:r>
    </w:p>
    <w:p>
      <w:pPr>
        <w:spacing w:after="100"/>
      </w:pPr>
      <w:r>
        <w:t>Step 4 — insert the RPN chart. Ask for a clustered column chart of RPN by failure mode ID, ordered highest to lowest, with a title a reviewer would understand.</w:t>
      </w:r>
    </w:p>
    <w:p>
      <w:pPr>
        <w:spacing w:after="100"/>
      </w:pPr>
      <w:r>
        <w:t>Step 5 — apply the severity gate yourself. Filter on the S column. FM-04 carries Severity 9 and the lowest RPN of the four at 54, and it still escalates. Write ESCALATE in its Severity flag cell. If Copilot did not flag it, that is the single most important correction you will make in this lab.</w:t>
      </w:r>
    </w:p>
    <w:p>
      <w:pPr>
        <w:spacing w:after="100"/>
      </w:pPr>
      <w:r>
        <w:t>Step 6 — request actions and evidence gaps. Ask for one evidence request and one practical follow-up per row. Reject anything that reads like an approval: "approve the design" is wrong, "request the calibration certificate for the flow transmitter" is right.</w:t>
      </w:r>
    </w:p>
    <w:p>
      <w:pPr>
        <w:spacing w:after="100"/>
      </w:pPr>
      <w:r>
        <w:t>Independent checks: FM-01 RPN = 140; FM-02 RPN = 192; FM-04 escalates on Severity 9 despite the lowest RPN; no fifth failure mode appeared; every supplied rating is unchanged. Only then open Worked-Reference.xlsx and compare.</w:t>
      </w:r>
    </w:p>
    <w:p>
      <w:pPr>
        <w:spacing w:after="100"/>
      </w:pPr>
      <w:r>
        <w:t>Boundary: this is a drafting aid, not an approval. Never change a supplied rating, never state the skid is safe or fit for service, and never lower a rating because an action is planned. Only verified evidence of control effectiveness justifies a lower rating.</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Act as an FMEA facilitator. Use only FMEAInput. Preserve all rows and supplied ratings. Calculate RPN = Severity × Occurrence × Detection, rank the rows, flag Severity 9 or higher, and add one evidence request and action per row. Show formulas. Do not invent incidents or approve the design.</w:t>
            </w:r>
          </w:p>
        </w:tc>
      </w:tr>
    </w:tbl>
    <w:p>
      <w:pPr>
        <w:pStyle w:val="Heading1"/>
      </w:pPr>
      <w:r>
        <w:t>DMAIC — structured process improvement</w:t>
      </w:r>
    </w:p>
    <w:p>
      <w:pPr>
        <w:spacing w:after="100"/>
      </w:pPr>
      <w:r>
        <w:t>Six Sigma is a data-based approach for reducing defects and variation. DMAIC is its five-phase roadmap for improving an existing process. It creates a disciplined link from problem definition to sustained control; filling the headings alone does not prove improvement.</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Phase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Question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Output</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Define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problem matters, to whom and within what boundary?</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Problem statement, scope and critical-to-quality measure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Measure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does the process perform now?</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Operational definition, data-quality check and baseline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Analyse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patterns and possible causes should be tested?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Prioritised hypotheses and evidence gaps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Improve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supported change will be piloted?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Controlled change, owner and success criterion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Control</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will the gain be monitored and protected?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Metric, frequency, trigger, owner and response</w:t>
            </w:r>
          </w:p>
        </w:tc>
      </w:tr>
    </w:tbl>
    <w:p>
      <w:pPr>
        <w:pStyle w:val="Heading2"/>
      </w:pPr>
      <w:r>
        <w:t>Everyday Analyse tools</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Tool</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Use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Do not conclude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Pareto</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Order problem categories from largest to smallest to focus effort.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The largest category is the root cause.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Fishbone / Ishikawa</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Organise possible causes under Machine, Method, Measurement, People, Material and Environment.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Every branch is true.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5-Whys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Develop one causal chain and identify the next evidence check.</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The fifth answer is automatically the root cause.</w:t>
            </w:r>
          </w:p>
        </w:tc>
      </w:tr>
    </w:tbl>
    <w:p>
      <w:pPr>
        <w:pStyle w:val="Heading2"/>
      </w:pPr>
      <w:r>
        <w:t>Worked rate comparison</w:t>
      </w:r>
    </w:p>
    <w:p>
      <w:pPr>
        <w:spacing w:after="100"/>
      </w:pPr>
      <w:r>
        <w:t>Baseline = 36 deviations ÷ 400 opportunities = 9.0%. Pilot = 7 ÷ 200 = 3.5%. The observed change is −5.5 percentage points. Relative reduction is 5.5 ÷ 9.0 = 61.1%. The two measures are different. A short pilot after concurrent changes does not identify cause or prove sustained improvement.</w:t>
      </w:r>
    </w:p>
    <w:p>
      <w:r>
        <w:br w:type="page"/>
      </w:r>
    </w:p>
    <w:p>
      <w:pPr>
        <w:pStyle w:val="Heading2"/>
      </w:pPr>
      <w:r>
        <w:t>Lab 3.2 — DMAIC improvement report (30 minutes)</w:t>
      </w:r>
    </w:p>
    <w:p>
      <w:pPr>
        <w:spacing w:after="100"/>
      </w:pPr>
      <w:r>
        <w:t>Open courseware/Labs/Lab-3.2-DMAIC-Report/Starter.xlsx. Six weeks of dosing deviation data are supplied: three Baseline weeks and three Pilot weeks, each with Opportunities and Deviations. The rate column and the phase summary are empty.</w:t>
      </w:r>
    </w:p>
    <w:p>
      <w:pPr>
        <w:spacing w:after="100"/>
      </w:pPr>
      <w:r>
        <w:t>Step 1 — understand the metric before calculating it. Deviation rate is deviations divided by opportunities, a proportion rather than a count. This matters because the pilot weeks carry roughly half the opportunities of the baseline weeks; comparing raw counts would flatter the result and would be wrong.</w:t>
      </w:r>
    </w:p>
    <w:p>
      <w:pPr>
        <w:spacing w:after="100"/>
      </w:pPr>
      <w:r>
        <w:t>Step 2 — select WeeklyData and paste the prompt from Lab-3.2-Prompt.pdf. This prompt carries an E-MAP block: it fixes the units, states the assumption that the deviation definition never changed across the six weeks, and limits the scope to this period only.</w:t>
      </w:r>
    </w:p>
    <w:p>
      <w:pPr>
        <w:spacing w:after="100"/>
      </w:pPr>
      <w:r>
        <w:t>Step 3 — verify both phase rates by hand. Baseline is 36 ÷ 400 = 9.00 per cent. Pilot is 7 ÷ 200 = 3.50 per cent. The absolute change is 5.50 percentage points. If Copilot reports "a 61 per cent reduction" it has given you a relative change, which misleads in a report; ask for percentage points.</w:t>
      </w:r>
    </w:p>
    <w:p>
      <w:pPr>
        <w:spacing w:after="100"/>
      </w:pPr>
      <w:r>
        <w:t>Step 4 — build the Pareto. On the Pareto sheet the five categories sum to 36, reconciling with the baseline deviations. Ask Copilot to add a cumulative percentage column and insert the chart. Confirm the top two categories carry most of the total, because that is what tells the team where to look first.</w:t>
      </w:r>
    </w:p>
    <w:p>
      <w:pPr>
        <w:spacing w:after="100"/>
      </w:pPr>
      <w:r>
        <w:t>Step 5 — draft the five DMAIC rows: Define, Measure, Analyse, Improve, Control. Read the Analyse row hardest. Every causal statement must be labelled a hypothesis unless the data in front of you supports it.</w:t>
      </w:r>
    </w:p>
    <w:p>
      <w:pPr>
        <w:spacing w:after="100"/>
      </w:pPr>
      <w:r>
        <w:t>Step 6 — force the limitation into the output. Ask directly what this data does not prove. The answer must state that a three-week pilot cannot demonstrate a sustained improvement, and that two concurrent changes cannot be separately attributed. Paste that into the Control row; a report without it is not review-ready.</w:t>
      </w:r>
    </w:p>
    <w:p>
      <w:pPr>
        <w:spacing w:after="100"/>
      </w:pPr>
      <w:r>
        <w:t>Independent checks: 36 ÷ 400 = 9.00%; 7 ÷ 200 = 3.50%; change stated as 5.50 percentage points; Pareto counts sum to 36; the limitation appears in the output.</w:t>
      </w:r>
    </w:p>
    <w:p>
      <w:pPr>
        <w:spacing w:after="100"/>
      </w:pPr>
      <w:r>
        <w:t>Boundary: do not invent a root cause, a cost saving or a completion percentage, and do not present a relative improvement as the absolute change. The status is draft; a competent reviewer decides whether the pilot is adopted.</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Act as a Six Sigma project assistant. Use only WeeklyData. Calculate Baseline and Pilot deviation rates. Create a five-row Define, Measure, Analyse, Improve, Control summary. Separate facts from hypotheses, show formulas, and state that the short pilot does not prove cause.</w:t>
            </w:r>
          </w:p>
        </w:tc>
      </w:tr>
    </w:tbl>
    <w:p>
      <w:pPr>
        <w:pStyle w:val="Heading2"/>
      </w:pPr>
      <w:r>
        <w:t>Pareto worked example</w:t>
      </w:r>
    </w:p>
    <w:p>
      <w:pPr>
        <w:spacing w:after="100"/>
      </w:pPr>
      <w:r>
        <w:t>In the optional reference data, Low delivery (55) and Test validity (16) contribute 71 of 93 baseline deviations, about 76%. This helps select a starting point; it does not prove why either category occurs.</w:t>
      </w:r>
    </w:p>
    <w:p>
      <w:pPr>
        <w:pStyle w:val="Heading2"/>
      </w:pPr>
      <w:r>
        <w:t>Fishbone and 5-Whys worked example</w:t>
      </w:r>
    </w:p>
    <w:p>
      <w:pPr>
        <w:spacing w:after="100"/>
      </w:pPr>
      <w:r>
        <w:t>Possible fishbone branches include Machine: pump wear/valve position; Method: setup/sequence; Measurement: calibration/timing; People: training/handover; Material: fluid condition/contamination; Environment: temperature/supply. A 5-Whys chain may move from low delivery → reduced outlet flow → possible restriction → possible filter loading. Stop and request inspection or differential-pressure evidence before treating the chain as fact.</w:t>
      </w:r>
    </w:p>
    <w:p>
      <w:r>
        <w:br w:type="page"/>
      </w:r>
    </w:p>
    <w:p>
      <w:pPr>
        <w:pStyle w:val="Heading1"/>
      </w:pPr>
      <w:r>
        <w:t>SPC — Statistical Process Control</w:t>
      </w:r>
    </w:p>
    <w:p>
      <w:pPr>
        <w:spacing w:after="100"/>
      </w:pPr>
      <w:r>
        <w:t>SPC uses measurements in time order to judge whether a process behaves consistently. The control chart distinguishes ordinary common-cause variation from special-cause signals that merit investigation. A signal identifies when to investigate; it does not diagnose the cause.</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Chart element</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Meaning</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Time-ordered points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Measurements plotted in collection order</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Centre line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Process average for the selected baseline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UCL/LCL</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Expected process range calculated from baseline variation</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Signal rule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Agreed pattern that triggers investigation</w:t>
            </w:r>
          </w:p>
        </w:tc>
      </w:tr>
    </w:tbl>
    <w:p>
      <w:pPr>
        <w:pStyle w:val="Heading2"/>
      </w:pPr>
      <w:r>
        <w:t>Common cause versus special cause</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Variation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Plain meaning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Engineering response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Common cause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Small routine fluctuation produced by the current process system</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Improve the system if performance is inadequate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Special cause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Unusual point or pattern indicating something changed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Check measurement, equipment, conditions and events</w:t>
            </w:r>
          </w:p>
        </w:tc>
      </w:tr>
    </w:tbl>
    <w:p>
      <w:pPr>
        <w:pStyle w:val="Heading2"/>
      </w:pPr>
      <w:r>
        <w:t>Control limits versus specification limits</w:t>
      </w:r>
    </w:p>
    <w:p>
      <w:pPr>
        <w:spacing w:after="100"/>
      </w:pPr>
      <w:r>
        <w:t>Control limits come from process data and describe behaviour. Specification limits come from design, customer or regulatory requirements and describe acceptability. A 59.5 L/h result can satisfy the fictional 58.9–65.1 L/h specification while still being below the 61.4 L/h lower control limit and unusual for the process.</w:t>
      </w:r>
    </w:p>
    <w:p>
      <w:r>
        <w:br w:type="page"/>
      </w:r>
    </w:p>
    <w:p>
      <w:pPr>
        <w:pStyle w:val="Heading1"/>
      </w:pPr>
      <w:r>
        <w:t>Process capability — Cp and Cpk in plain terms</w:t>
      </w:r>
    </w:p>
    <w:p>
      <w:pPr>
        <w:spacing w:after="100"/>
      </w:pPr>
      <w:r>
        <w:t>Cp asks whether the estimated stable process spread could fit between the specification limits if centred: Cp = (USL − LSL) ÷ 6σ. Cpk also accounts for where the process mean actually sits: Cpk = min[(USL − mean), (mean − LSL)] ÷ 3σ. A value above 1 means the estimated six-sigma spread fits inside the limits; larger values provide more margin. Interpret only after confirming process stability, measurement quality, distribution and data sufficiency.</w:t>
      </w:r>
    </w:p>
    <w:p>
      <w:pPr>
        <w:pStyle w:val="Heading2"/>
      </w:pPr>
      <w:r/>
      <w:r>
        <w:t>Lab 3.3 — SPC control chart and capability (30 minutes)</w:t>
      </w:r>
    </w:p>
    <w:p>
      <w:pPr>
        <w:spacing w:after="100"/>
      </w:pPr>
      <w:r>
        <w:t>Open courseware/Labs/Lab-3.3-SPC-Control-Chart/Starter.xlsx. Sixteen subgroups of four delivery measurements are supplied. Subgroups 1 to 12 are Baseline and 13 to 16 are Monitoring. The Xbar and R columns are empty.</w:t>
      </w:r>
    </w:p>
    <w:p>
      <w:pPr>
        <w:spacing w:after="100"/>
      </w:pPr>
      <w:r>
        <w:t>Step 1 — calculate one subgroup by hand first, so you know what right looks like. Subgroup 1: Xbar = (61.8 + 62.4 + 61.5 + 62.1) ÷ 4 = 61.950 and R = 62.4 − 61.5 = 0.900. This takes thirty seconds and it is the reason you will catch an error later.</w:t>
      </w:r>
    </w:p>
    <w:p>
      <w:pPr>
        <w:spacing w:after="100"/>
      </w:pPr>
      <w:r>
        <w:t>Step 2 — select SPCData and paste the prompt from Lab-3.3-Prompt.pdf. The prompt supplies the constants for n = 4: A2 = 0.729, D4 = 2.282 and d2 = 2.059. Copilot should not be guessing these values.</w:t>
      </w:r>
    </w:p>
    <w:p>
      <w:pPr>
        <w:spacing w:after="100"/>
      </w:pPr>
      <w:r>
        <w:t>Step 3 — confirm the limits came from the baseline only. This is the step most people get wrong. Limits must be calculated on subgroups 1 to 12 and then frozen. If Copilot used all sixteen, the drifting monitoring points drag the limits down with them and the signal disappears. Expect Xbarbar ≈ 62.027 and Rbar ≈ 0.658, giving UCL = 62.027 + 0.729 × 0.658 = 62.507 and LCL = 62.027 − 0.729 × 0.658 = 61.547.</w:t>
      </w:r>
    </w:p>
    <w:p>
      <w:pPr>
        <w:spacing w:after="100"/>
      </w:pPr>
      <w:r>
        <w:t>Step 4 — plot all sixteen subgroups against those frozen limits, with the centre line, UCL and LCL drawn as reference lines. The baseline points should sit inside the limits without a pattern; the monitoring points should fall away below the LCL.</w:t>
      </w:r>
    </w:p>
    <w:p>
      <w:pPr>
        <w:spacing w:after="100"/>
      </w:pPr>
      <w:r>
        <w:t>Step 5 — read the signal correctly. Subgroup 13: Xbar = (61.5 + 61.2 + 61.4 + 61.0) ÷ 4 = 61.275, which is below the LCL of 61.547. All four monitoring subgroups are below the LCL and they trend steadily downwards rather than jumping once. A progressive drift like this suggests something like wear or fouling, but write the conclusion as a signal to investigate, not as a cause.</w:t>
      </w:r>
    </w:p>
    <w:p>
      <w:pPr>
        <w:spacing w:after="100"/>
      </w:pPr>
      <w:r>
        <w:t>Step 6 — calculate capability and read it with caution. Expect sigma ≈ 0.320, Cp ≈ 3.13 and Cpk ≈ 1.01. Cp is roughly three times Cpk; that gap does not mean the process cannot hold the tolerance, it means the process is running off centre. State the larger caution too: capability is only meaningful while the process is stable, and these monitoring subgroups show it is not, so reporting Cpk alone here would mislead.</w:t>
      </w:r>
    </w:p>
    <w:p>
      <w:pPr>
        <w:spacing w:after="100"/>
      </w:pPr>
      <w:r>
        <w:t>Independent checks: subgroup 1 Xbar = 61.950 and R = 0.900; limits calculated on subgroups 1-12 only; subgroup 13 Xbar = 61.275 below the LCL; Cp much greater than Cpk explained as off centre.</w:t>
      </w:r>
    </w:p>
    <w:p>
      <w:pPr>
        <w:spacing w:after="100"/>
      </w:pPr>
      <w:r>
        <w:t>Boundary: a point outside a control limit is a signal to investigate, never a diagnosis and never proof that equipment is unsafe. Do not recalculate limits using monitoring data, and do not report capability as though the process were stable.</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Act as an engineering data assistant. Use only PumpReadings. From the eight Baseline rows, calculate the mean, sample standard deviation, UCL and LCL. Flag T09–T12, create a line chart with fixed limits, show formulas, and give a three-sentence interpretation. Do not claim a root cause or safety conclusion.</w:t>
            </w:r>
          </w:p>
        </w:tc>
      </w:tr>
    </w:tbl>
    <w:p>
      <w:pPr>
        <w:pStyle w:val="Heading1"/>
      </w:pPr>
      <w:r>
        <w:t>Module 4 — Copilot Agents and Microsoft 365 Reasoning Agents</w:t>
      </w:r>
    </w:p>
    <w:p>
      <w:pPr>
        <w:jc w:val="center"/>
      </w:pPr>
      <w:r>
        <w:drawing>
          <wp:inline xmlns:a="http://schemas.openxmlformats.org/drawingml/2006/main" xmlns:pic="http://schemas.openxmlformats.org/drawingml/2006/picture">
            <wp:extent cx="6309360" cy="3550902"/>
            <wp:docPr id="4" name="Picture 4"/>
            <wp:cNvGraphicFramePr>
              <a:graphicFrameLocks noChangeAspect="1"/>
            </wp:cNvGraphicFramePr>
            <a:graphic>
              <a:graphicData uri="http://schemas.openxmlformats.org/drawingml/2006/picture">
                <pic:pic>
                  <pic:nvPicPr>
                    <pic:cNvPr id="0" name="module-4-agents.png"/>
                    <pic:cNvPicPr/>
                  </pic:nvPicPr>
                  <pic:blipFill>
                    <a:blip r:embed="rId13"/>
                    <a:stretch>
                      <a:fillRect/>
                    </a:stretch>
                  </pic:blipFill>
                  <pic:spPr>
                    <a:xfrm>
                      <a:off x="0" y="0"/>
                      <a:ext cx="6309360" cy="3550902"/>
                    </a:xfrm>
                    <a:prstGeom prst="rect"/>
                  </pic:spPr>
                </pic:pic>
              </a:graphicData>
            </a:graphic>
          </wp:inline>
        </w:drawing>
      </w:r>
    </w:p>
    <w:p>
      <w:pPr>
        <w:spacing w:after="100"/>
      </w:pPr>
      <w:r>
        <w:t>Learning outcome: configure and test a reusable multi-step FMEA-to-report workflow, then use Researcher and Analyst with citation and calculation checks.</w:t>
      </w:r>
    </w:p>
    <w:p>
      <w:pPr>
        <w:pStyle w:val="Heading2"/>
      </w:pPr>
      <w:r>
        <w:t>When an agent is appropriate</w:t>
      </w:r>
    </w:p>
    <w:p>
      <w:pPr>
        <w:spacing w:after="100"/>
      </w:pPr>
      <w:r>
        <w:t>Build an agent when the same bounded task repeats, required inputs and output are stable, acceptance tests exist, and the audience and knowledge permissions are known. Use an ordinary Copilot prompt for one-off or still-ambiguous work.</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Agent component</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Course configuration</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Instructions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Collect → validate → calculate → retrieve → human gate → report</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Knowledge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FMEA template, rating guide and test cases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Stop rules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Ask when S/O/D or source revision is missing; show conflicts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Output</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Source fields, visible RPN, severity gate, evidence gap, action and audit note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Deployment</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Preview, publish and share to the approved training audience</w:t>
            </w:r>
          </w:p>
        </w:tc>
      </w:tr>
    </w:tbl>
    <w:p>
      <w:pPr>
        <w:pStyle w:val="Heading2"/>
      </w:pPr>
      <w:r>
        <w:t>Guided FMEA Agent build</w:t>
      </w:r>
    </w:p>
    <w:p>
      <w:pPr>
        <w:pStyle w:val="ListBullet"/>
        <w:spacing w:after="40"/>
      </w:pPr>
      <w:r>
        <w:t>Open Microsoft 365 Copilot and select Agents. Choose New agent or open the Copilot Studio agent builder available in the tenant.</w:t>
      </w:r>
    </w:p>
    <w:p>
      <w:pPr>
        <w:pStyle w:val="ListBullet"/>
        <w:spacing w:after="40"/>
      </w:pPr>
      <w:r>
        <w:t>Name the agent “IES Pump FMEA Assistant” and state its narrow purpose.</w:t>
      </w:r>
    </w:p>
    <w:p>
      <w:pPr>
        <w:pStyle w:val="ListBullet"/>
        <w:spacing w:after="40"/>
      </w:pPr>
      <w:r>
        <w:t>Paste the supplied FMEA-AGENT-INSTRUCTIONS.md content.</w:t>
      </w:r>
    </w:p>
    <w:p>
      <w:pPr>
        <w:pStyle w:val="ListBullet"/>
        <w:spacing w:after="40"/>
      </w:pPr>
      <w:r>
        <w:t>Attach the supplied FMEA report template/rating reference if the environment allows knowledge files.</w:t>
      </w:r>
    </w:p>
    <w:p>
      <w:pPr>
        <w:pStyle w:val="ListBullet"/>
        <w:spacing w:after="40"/>
      </w:pPr>
      <w:r>
        <w:t>Test FM01 with S7/O5/D4. Confirm RPN 140, evidence gap and human gate.</w:t>
      </w:r>
    </w:p>
    <w:p>
      <w:pPr>
        <w:pStyle w:val="ListBullet"/>
        <w:spacing w:after="40"/>
      </w:pPr>
      <w:r>
        <w:t>Test a row with Detection missing. The agent must stop and request the value and scoring basis.</w:t>
      </w:r>
    </w:p>
    <w:p>
      <w:pPr>
        <w:pStyle w:val="ListBullet"/>
        <w:spacing w:after="40"/>
      </w:pPr>
      <w:r>
        <w:t>Refine one instruction, rerun both tests, then publish/share only to the approved audience.</w:t>
      </w:r>
    </w:p>
    <w:p>
      <w:r>
        <w:br w:type="page"/>
      </w:r>
    </w:p>
    <w:p>
      <w:pPr>
        <w:pStyle w:val="Heading1"/>
      </w:pPr>
      <w:r>
        <w:t>Reasoning agents — Researcher and Analyst</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Agent</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Use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Independent check</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Researcher</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Multi-source standards/technology comparison with citations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Open one citation and compare the passage with the claim</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Analyst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File-based calculations, charts and data interpretation</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Reproduce important formulas and denominators</w:t>
            </w:r>
          </w:p>
        </w:tc>
      </w:tr>
    </w:tbl>
    <w:p>
      <w:pPr>
        <w:pStyle w:val="Heading2"/>
      </w:pPr>
      <w:r>
        <w:t>Researcher prompt</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Act as an engineering research assistant. Compare the supplied recording requirements with current approved guidance. Separate supplied facts from external findings. Cite each claim and list unresolved differences for engineering review.</w:t>
            </w:r>
          </w:p>
        </w:tc>
      </w:tr>
    </w:tbl>
    <w:p>
      <w:pPr>
        <w:pStyle w:val="Heading2"/>
      </w:pPr>
      <w:r>
        <w:t>Analyst prompt</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Use only the six rows in WeeklyData. Check row count, phases and missing values. Calculate Baseline and Pilot rates, percentage-point change and relative reduction. Create a comparison chart, show formulas, state one limitation and one next evidence check. Do not claim cause or sustained improvement.</w:t>
            </w:r>
          </w:p>
        </w:tc>
      </w:tr>
    </w:tbl>
    <w:p>
      <w:pPr>
        <w:spacing w:after="100"/>
      </w:pPr>
      <w:r>
        <w:t>Independent checks: 9.0%; 3.5%; −5.5 percentage points; 61.1% relative reduction.</w:t>
      </w:r>
    </w:p>
    <w:p>
      <w:r>
        <w:br w:type="page"/>
      </w:r>
    </w:p>
    <w:p>
      <w:pPr>
        <w:pStyle w:val="Heading1"/>
      </w:pPr>
      <w:r>
        <w:t>Module 5 — SharePoint Integration with Copilot</w:t>
      </w:r>
    </w:p>
    <w:p>
      <w:pPr>
        <w:jc w:val="center"/>
      </w:pPr>
      <w:r>
        <w:drawing>
          <wp:inline xmlns:a="http://schemas.openxmlformats.org/drawingml/2006/main" xmlns:pic="http://schemas.openxmlformats.org/drawingml/2006/picture">
            <wp:extent cx="6309360" cy="3550902"/>
            <wp:docPr id="5" name="Picture 5"/>
            <wp:cNvGraphicFramePr>
              <a:graphicFrameLocks noChangeAspect="1"/>
            </wp:cNvGraphicFramePr>
            <a:graphic>
              <a:graphicData uri="http://schemas.openxmlformats.org/drawingml/2006/picture">
                <pic:pic>
                  <pic:nvPicPr>
                    <pic:cNvPr id="0" name="module-5-sharepoint.png"/>
                    <pic:cNvPicPr/>
                  </pic:nvPicPr>
                  <pic:blipFill>
                    <a:blip r:embed="rId14"/>
                    <a:stretch>
                      <a:fillRect/>
                    </a:stretch>
                  </pic:blipFill>
                  <pic:spPr>
                    <a:xfrm>
                      <a:off x="0" y="0"/>
                      <a:ext cx="6309360" cy="3550902"/>
                    </a:xfrm>
                    <a:prstGeom prst="rect"/>
                  </pic:spPr>
                </pic:pic>
              </a:graphicData>
            </a:graphic>
          </wp:inline>
        </w:drawing>
      </w:r>
    </w:p>
    <w:p>
      <w:pPr>
        <w:spacing w:after="100"/>
      </w:pPr>
      <w:r>
        <w:t>Learning outcome: organise a private engineering knowledge folder, ground an agent on that folder, test supported and missing-evidence questions, and pass only checked excerpts to another agent.</w:t>
      </w:r>
    </w:p>
    <w:p>
      <w:pPr>
        <w:pStyle w:val="Heading2"/>
      </w:pPr>
      <w:r>
        <w:t>Prepared environment</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Item</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Value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Site</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https://tertiaryinfotech.sharepoint.com/sites/IES-GenAI-for-Engineers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Library / folder</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Documents / Engineering Knowledge Base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Sources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TR-401-Training-Extract.pdf; FMEA-Starter.xlsx; DMAIC-Starter.xlsx; SPC-Starter.xlsx</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Agent</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IES Engineering Knowledge Assistant</w:t>
            </w:r>
          </w:p>
        </w:tc>
      </w:tr>
    </w:tbl>
    <w:p>
      <w:pPr>
        <w:pStyle w:val="Heading2"/>
      </w:pPr>
      <w:r>
        <w:t>Create or inspect the knowledge base</w:t>
      </w:r>
    </w:p>
    <w:p>
      <w:pPr>
        <w:pStyle w:val="ListBullet"/>
        <w:spacing w:after="40"/>
      </w:pPr>
      <w:r>
        <w:t>Confirm the site is private and inspect owners, members and visitors.</w:t>
      </w:r>
    </w:p>
    <w:p>
      <w:pPr>
        <w:pStyle w:val="ListBullet"/>
        <w:spacing w:after="40"/>
      </w:pPr>
      <w:r>
        <w:t>Open Documents / Engineering Knowledge Base.</w:t>
      </w:r>
    </w:p>
    <w:p>
      <w:pPr>
        <w:pStyle w:val="ListBullet"/>
        <w:spacing w:after="40"/>
      </w:pPr>
      <w:r>
        <w:t>Confirm exactly four synthetic sources and their revisions.</w:t>
      </w:r>
    </w:p>
    <w:p>
      <w:pPr>
        <w:pStyle w:val="ListBullet"/>
        <w:spacing w:after="40"/>
      </w:pPr>
      <w:r>
        <w:t>Create or inspect the folder-scoped agent.</w:t>
      </w:r>
    </w:p>
    <w:p>
      <w:pPr>
        <w:pStyle w:val="ListBullet"/>
        <w:spacing w:after="40"/>
      </w:pPr>
      <w:r>
        <w:t>Use instructions that require citations, separate facts from interpretation, and preserve missing evidence.</w:t>
      </w:r>
    </w:p>
    <w:p>
      <w:pPr>
        <w:pStyle w:val="Heading2"/>
      </w:pPr>
      <w:r>
        <w:t>Agent test cases</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Test</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Expected result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fields must TR-401 record?</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Test ID, timestamp, volume and duration, with citation to clause 1.</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approved delivery limit does TR-401 state?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Not specified; request the approved design requirement.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Compare the three workbook purposes.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FMEA risk review, DMAIC improvement summary, SPC monitoring; citation to each file.</w:t>
            </w:r>
          </w:p>
        </w:tc>
      </w:tr>
    </w:tbl>
    <w:p>
      <w:pPr>
        <w:pStyle w:val="Heading2"/>
      </w:pPr>
      <w:r>
        <w:t>End-to-end integration</w:t>
      </w:r>
    </w:p>
    <w:p>
      <w:pPr>
        <w:spacing w:after="100"/>
      </w:pPr>
      <w:r>
        <w:t>Ask the SharePoint agent for a requirement. Open and verify the cited passage. A named engineer approves the excerpt as context. Pass only that checked excerpt to the FMEA or Report Writer agent. The generated document shows the source and reviewer. This preserves the human gate between retrieval and document generation.</w:t>
      </w:r>
    </w:p>
    <w:p>
      <w:r>
        <w:br w:type="page"/>
      </w:r>
    </w:p>
    <w:p>
      <w:pPr>
        <w:pStyle w:val="Heading1"/>
      </w:pPr>
      <w:r>
        <w:t>Module 6 — 7-Step AI Security Framework</w:t>
      </w:r>
    </w:p>
    <w:p>
      <w:pPr>
        <w:jc w:val="center"/>
      </w:pPr>
      <w:r>
        <w:drawing>
          <wp:inline xmlns:a="http://schemas.openxmlformats.org/drawingml/2006/main" xmlns:pic="http://schemas.openxmlformats.org/drawingml/2006/picture">
            <wp:extent cx="6309360" cy="3550902"/>
            <wp:docPr id="6" name="Picture 6"/>
            <wp:cNvGraphicFramePr>
              <a:graphicFrameLocks noChangeAspect="1"/>
            </wp:cNvGraphicFramePr>
            <a:graphic>
              <a:graphicData uri="http://schemas.openxmlformats.org/drawingml/2006/picture">
                <pic:pic>
                  <pic:nvPicPr>
                    <pic:cNvPr id="0" name="module-6-security.png"/>
                    <pic:cNvPicPr/>
                  </pic:nvPicPr>
                  <pic:blipFill>
                    <a:blip r:embed="rId15"/>
                    <a:stretch>
                      <a:fillRect/>
                    </a:stretch>
                  </pic:blipFill>
                  <pic:spPr>
                    <a:xfrm>
                      <a:off x="0" y="0"/>
                      <a:ext cx="6309360" cy="3550902"/>
                    </a:xfrm>
                    <a:prstGeom prst="rect"/>
                  </pic:spPr>
                </pic:pic>
              </a:graphicData>
            </a:graphic>
          </wp:inline>
        </w:drawing>
      </w:r>
    </w:p>
    <w:p>
      <w:pPr>
        <w:spacing w:after="100"/>
      </w:pPr>
      <w:r>
        <w:t>Learning outcome: apply every control to the Module 5 grounded answer and make an explicit approve, revise or reject decision.</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Step</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Action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Evidence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 · Data classification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Classify input/output using organisational policy</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Classification and prohibited fields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2 · Governance &amp; access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Check source, user, agent scope and audience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Site/folder permissions and revision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3 · Secure prompting</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Minimise sensitive data; resist embedded instructions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Final prompt and redactions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4 · Output verification</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Open citation; reproduce calculation; check units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Pass/correction/unknown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5 · Human sign-off</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Name competent reviewer and decision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Reviewer, date and conditions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6 · Traceability &amp; audit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Retain prompt, sources, output and corrections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Reproducible record</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7 · Awareness &amp; incident response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Detect, stop, contain, report and improve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Incident path and retest</w:t>
            </w:r>
          </w:p>
        </w:tc>
      </w:tr>
    </w:tbl>
    <w:p>
      <w:pPr>
        <w:pStyle w:val="Heading2"/>
      </w:pPr>
      <w:r>
        <w:t>Applied review</w:t>
      </w:r>
    </w:p>
    <w:p>
      <w:pPr>
        <w:pStyle w:val="ListBullet"/>
        <w:spacing w:after="40"/>
      </w:pPr>
      <w:r>
        <w:t>Use the SharePoint-agent workbook comparison and TR-401 missing-limit answer.</w:t>
      </w:r>
    </w:p>
    <w:p>
      <w:pPr>
        <w:pStyle w:val="ListBullet"/>
        <w:spacing w:after="40"/>
      </w:pPr>
      <w:r>
        <w:t>Complete all seven rows in AI-SECURITY-EVIDENCE-LOG.csv.</w:t>
      </w:r>
    </w:p>
    <w:p>
      <w:pPr>
        <w:pStyle w:val="ListBullet"/>
        <w:spacing w:after="40"/>
      </w:pPr>
      <w:r>
        <w:t>Open one citation and reproduce one FMEA, DMAIC or SPC calculation.</w:t>
      </w:r>
    </w:p>
    <w:p>
      <w:pPr>
        <w:pStyle w:val="ListBullet"/>
        <w:spacing w:after="40"/>
      </w:pPr>
      <w:r>
        <w:t>Identify the embedded prompt-injection attempt as untrusted document content.</w:t>
      </w:r>
    </w:p>
    <w:p>
      <w:pPr>
        <w:pStyle w:val="ListBullet"/>
        <w:spacing w:after="40"/>
      </w:pPr>
      <w:r>
        <w:t>Make one release decision: approve for named audience, revise and recheck, or reject and escalate.</w:t>
      </w:r>
    </w:p>
    <w:p>
      <w:r>
        <w:br w:type="page"/>
      </w:r>
    </w:p>
    <w:p>
      <w:pPr>
        <w:pStyle w:val="Heading1"/>
      </w:pPr>
      <w:r>
        <w:t>Course close — personal AI Engineering Toolkit</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Keep</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Contents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Prompt patterns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RISE, E-MAP, constraints, personas and acceptance checks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Method quick references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FMEA → DMAIC → SPC</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Agent assets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Instructions, knowledge and test cases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Grounding checks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Folder scope, citations and missing-evidence test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Security gate</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Seven-step evidence log and release decision</w:t>
            </w:r>
          </w:p>
        </w:tc>
      </w:tr>
    </w:tbl>
    <w:p>
      <w:pPr>
        <w:pStyle w:val="Heading2"/>
      </w:pPr>
      <w:r>
        <w:t>One next action</w:t>
      </w:r>
    </w:p>
    <w:p>
      <w:pPr>
        <w:spacing w:after="100"/>
      </w:pPr>
      <w:r>
        <w:t>Choose one small repeatable workflow. Name its evidence, required output, acceptance test and approving owner. Trial it with synthetic or approved data before introducing live confidential information.</w:t>
      </w:r>
    </w:p>
    <w:p>
      <w:pPr>
        <w:pStyle w:val="Heading2"/>
      </w:pPr>
      <w:r>
        <w:t>Microsoft 365 learning links</w:t>
      </w:r>
    </w:p>
    <w:p>
      <w:pPr>
        <w:pStyle w:val="ListBullet"/>
        <w:spacing w:after="40"/>
      </w:pPr>
      <w:r>
        <w:t>Microsoft 365 Copilot: https://m365.cloud.microsoft/chat</w:t>
      </w:r>
    </w:p>
    <w:p>
      <w:pPr>
        <w:pStyle w:val="ListBullet"/>
        <w:spacing w:after="40"/>
      </w:pPr>
      <w:r>
        <w:t>Copilot in Excel: https://support.microsoft.com/en-us/office/get-started-with-copilot-in-excel</w:t>
      </w:r>
    </w:p>
    <w:p>
      <w:pPr>
        <w:pStyle w:val="ListBullet"/>
        <w:spacing w:after="40"/>
      </w:pPr>
      <w:r>
        <w:t>Copilot in Word: https://support.microsoft.com/en-us/office/welcome-to-copilot-in-word</w:t>
      </w:r>
    </w:p>
    <w:p>
      <w:pPr>
        <w:pStyle w:val="ListBullet"/>
        <w:spacing w:after="40"/>
      </w:pPr>
      <w:r>
        <w:t>Copilot in PowerPoint: https://support.microsoft.com/en-us/office/welcome-to-copilot-in-powerpoint</w:t>
      </w:r>
    </w:p>
    <w:p>
      <w:pPr>
        <w:pStyle w:val="ListBullet"/>
        <w:spacing w:after="40"/>
      </w:pPr>
      <w:r>
        <w:t>Microsoft 365 Copilot agents: https://support.microsoft.com/en-us/topic/agents-in-microsoft-365-copilot</w:t>
      </w:r>
    </w:p>
    <w:p>
      <w:pPr>
        <w:pStyle w:val="ListBullet"/>
        <w:spacing w:after="40"/>
      </w:pPr>
      <w:r>
        <w:t>Researcher: https://learn.microsoft.com/en-us/microsoft-365/copilot/researcher-agent</w:t>
      </w:r>
    </w:p>
    <w:p>
      <w:pPr>
        <w:pStyle w:val="ListBullet"/>
        <w:spacing w:after="40"/>
      </w:pPr>
      <w:r>
        <w:t>Analyst: https://support.microsoft.com/en-US/Microsoft-365-Copilot/get-started-with-analyst-in-microsoft-365-copilot</w:t>
      </w:r>
    </w:p>
    <w:p>
      <w:pPr>
        <w:pStyle w:val="ListBullet"/>
        <w:spacing w:after="40"/>
      </w:pPr>
      <w:r>
        <w:t>SharePoint agents: https://support.microsoft.com/en-us/office/get-started-with-agents-in-sharepoint</w:t>
      </w:r>
    </w:p>
    <w:p>
      <w:pPr>
        <w:pStyle w:val="Heading2"/>
      </w:pPr>
      <w:r>
        <w:t>File map</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Resource</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Path</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courseware/Slides/IES-GenAI-for-Engineers.pptx</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All 16 Lesson Plan activities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courseware/Labs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FMEA workbook</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courseware/Labs/Lab-3.1-FMEA-Document</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DMAIC + SPC workbooks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courseware/Labs/Lab-3.2-DMAIC-with-SPC</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Agent/SharePoint/security files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courseware/Trainer-Demonstrations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Optional quick references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PPT slides 163–186</w:t>
            </w:r>
          </w:p>
        </w:tc>
      </w:tr>
    </w:tbl>
    <w:sectPr w:rsidR="00FC693F" w:rsidRPr="0006063C" w:rsidSect="00034616">
      <w:headerReference w:type="default" r:id="rId9"/>
      <w:footerReference w:type="default" r:id="rId10"/>
      <w:pgSz w:w="12240" w:h="15840"/>
      <w:pgMar w:top="936"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36A78"/>
        <w:sz w:val="16"/>
      </w:rPr>
      <w:t>IES  |  Training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78897"/>
        <w:sz w:val="16"/>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02B3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B3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7889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02B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02B3E"/>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36A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