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96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WSQ COURSEWARE</w:t>
      </w:r>
    </w:p>
    <w:p>
      <w:pPr>
        <w:pStyle w:val="Title"/>
        <w:jc w:val="center"/>
      </w:pPr>
      <w:r>
        <w:t>Claude Cowork for Email Marketing</w:t>
      </w:r>
    </w:p>
    <w:p>
      <w:pPr>
        <w:pStyle w:val="Subtitle"/>
        <w:jc w:val="center"/>
      </w:pPr>
      <w:r>
        <w:t>Lesson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TGS-2020503109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Technical Skills and Competencies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ICT-SNM-3006-1.1 Integrated Marketing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v14.0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10 September 2026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Training Provider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 (UEN 201200696W)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Trainer</w:t>
            </w:r>
          </w:p>
        </w:tc>
      </w:tr>
    </w:tbl>
    <w:p/>
    <w:p>
      <w:pPr>
        <w:jc w:val="center"/>
      </w:pPr>
      <w:r>
        <w:rPr>
          <w:i/>
          <w:color w:val="526577"/>
        </w:rPr>
        <w:t>Controlled document. Verify the version before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Lesson Plan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13.0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Prior release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Legacy Mailchimp courseware retained as the approved scope reference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Lesson Plan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14.0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10 September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Claude Cowork revamp: 222-slide visual deck, ten independent labs, aligned WA-SAQ and PP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update this field to refresh the contents.</w:t>
        <w:fldChar w:fldCharType="end"/>
      </w:r>
    </w:p>
    <w:p>
      <w:r>
        <w:br w:type="page"/>
      </w:r>
    </w:p>
    <w:p>
      <w:pPr>
        <w:pStyle w:val="Heading1"/>
      </w:pPr>
      <w:r>
        <w:t>1. Course and Delivery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Claude Cowork for Email Marketing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TGS-2020503109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TSC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ICT-SNM-3006-1.1 Integrated Marketing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 days / 16 training hours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Active instruments: Written Assessment 40 minutes + Practical Performance 90 minutes; live course page summarises 2 hours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Delivery mode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Facilitated classroom or synchronous learning with Claude Cowork and a synthetic campaign workspace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Required resources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222-slide deck, Learner Guide, ten lab folders, Claude Cowork access, spreadsheet/PDF viewer and modern browser</w:t>
            </w:r>
          </w:p>
        </w:tc>
      </w:tr>
    </w:tbl>
    <w:p>
      <w:pPr>
        <w:pStyle w:val="Heading1"/>
      </w:pPr>
      <w:r>
        <w:t>2. Learning Outcomes</w:t>
      </w:r>
    </w:p>
    <w:p>
      <w:pPr>
        <w:pStyle w:val="ListBullet"/>
      </w:pPr>
      <w:r>
        <w:t>LO1 Propose email marketing strategies to address intended objectives and target customers.</w:t>
      </w:r>
    </w:p>
    <w:p>
      <w:pPr>
        <w:pStyle w:val="ListBullet"/>
      </w:pPr>
      <w:r>
        <w:t>LO2 Manage newsletter audiences for a particular market segment.</w:t>
      </w:r>
    </w:p>
    <w:p>
      <w:pPr>
        <w:pStyle w:val="ListBullet"/>
      </w:pPr>
      <w:r>
        <w:t>LO3 Develop effective email campaigns to meet an email campaign objective.</w:t>
      </w:r>
    </w:p>
    <w:p>
      <w:pPr>
        <w:pStyle w:val="ListBullet"/>
      </w:pPr>
      <w:r>
        <w:t>LO4 Automate marketing processes to improve efficiency.</w:t>
      </w:r>
    </w:p>
    <w:p>
      <w:pPr>
        <w:pStyle w:val="ListBullet"/>
      </w:pPr>
      <w:r>
        <w:t>LO5 Evaluate campaign effectiveness using analytics reports.</w:t>
      </w:r>
    </w:p>
    <w:p>
      <w:pPr>
        <w:pStyle w:val="Heading1"/>
      </w:pPr>
      <w:r>
        <w:t>3. Facilitation Principles</w:t>
      </w:r>
    </w:p>
    <w:p>
      <w:pPr>
        <w:pStyle w:val="ListBullet"/>
      </w:pPr>
      <w:r>
        <w:t>Use the PPT for mechanism visualisation, technical dialogue and evidence interpretation; do not demonstrate click-by-click procedures from the slides.</w:t>
      </w:r>
    </w:p>
    <w:p>
      <w:pPr>
        <w:pStyle w:val="ListBullet"/>
      </w:pPr>
      <w:r>
        <w:t>Use the Learner Guide and lab PDFs for detailed procedures, prompts, troubleshooting and acceptance checks.</w:t>
      </w:r>
    </w:p>
    <w:p>
      <w:pPr>
        <w:pStyle w:val="ListBullet"/>
      </w:pPr>
      <w:r>
        <w:t>Keep live sends, destructive audience changes and production publication outside learner scope; use the supplied mock adapter.</w:t>
      </w:r>
    </w:p>
    <w:p>
      <w:pPr>
        <w:pStyle w:val="ListBullet"/>
      </w:pPr>
      <w:r>
        <w:t>Require approved sources, artifact checks and observable campaign evidence before accepting a Cowork response or learner conclusion.</w:t>
      </w:r>
    </w:p>
    <w:p>
      <w:pPr>
        <w:pStyle w:val="Heading1"/>
      </w:pPr>
      <w:r>
        <w:t>4. Day 1 Detailed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09:00–09:30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Administration, attendance, context and outcomes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Facilitated briefing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1–14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Attendance confirmation and learner context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09:30–11:00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1: objectives, lifecycle, lead magnets and campaign briefs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Visual explanation + decision critique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15–42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Objective tree and campaign brief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11:00–13:00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1 synthesis and Labs 01–02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Cowork lab + evidence review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43–54; Lab 01–02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Grounded strategy and lifecycle map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13:00–14:00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14:00–15:30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2: audience status, hygiene, segmentation and personalisation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data exercise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55–85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Audience contract and segment logic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15:30–17:00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Labs 03–04: data quality and explainable segments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Cowork lab + verifier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 03–04 folders + LG §6.3–6.4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Cleaned audience and segment manifest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17:00–18:00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3 foundation: message and brand architecture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Visual explanation + critique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95–109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Message map and brand constraints</w:t>
            </w:r>
          </w:p>
        </w:tc>
      </w:tr>
    </w:tbl>
    <w:p/>
    <w:p>
      <w:pPr>
        <w:pStyle w:val="Heading1"/>
      </w:pPr>
      <w:r>
        <w:t>4. Day 2 Detailed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09:00–10:30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3 and Labs 05–06: grounded drafts and Custom Skills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Cowork lab + editorial QA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110–134; Lab 05–06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Campaign variants and reusable Skill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10:30–12:30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4: projects, connectors, MCP, safety and approvals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threat exercise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135–166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Connector map and approval contract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12:30–13:00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Labs 07–08 setup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Facilitated setup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 07–08 folders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Permission register and dry-run workspace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13:00–14:00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14:00–15:00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Labs 07–08: injection controls and approval-bound schedule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lab + controlled failure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 07–08 folders + LG §6.7–6.8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Blocked injection and matching approval receipt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15:00–16:30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5: metrics, funnels, experiments and optimisation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Chart interpretation + worked calculations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175–206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Metric dictionary and experiment contract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16:30–18:00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Labs 09–10, synthesis and course review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Analytics lab + decision review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207–214; Lab 09–10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Reconciled analysis and optimisation backlog</w:t>
            </w:r>
          </w:p>
        </w:tc>
      </w:tr>
    </w:tbl>
    <w:p/>
    <w:p>
      <w:pPr>
        <w:pStyle w:val="Heading1"/>
      </w:pPr>
      <w:r>
        <w:t>5. Assessment and Evidence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Assessor control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Written Assessment (SAQ)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40 min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K1–K6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Six open-ended responses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Identity check, independent completion and complete answer capture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Practical Performance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90 min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A1–A8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Five campaign tasks with strategy, audience, content, automation and analysis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Observe performance; preserve learner evidence; record outcome</w:t>
            </w:r>
          </w:p>
        </w:tc>
      </w:tr>
    </w:tbl>
    <w:p>
      <w:pPr>
        <w:pStyle w:val="Heading1"/>
      </w:pPr>
      <w:r>
        <w:t>6. Trainer Preparation Checklist</w:t>
      </w:r>
    </w:p>
    <w:p>
      <w:pPr>
        <w:pStyle w:val="ListBullet"/>
      </w:pPr>
      <w:r>
        <w:t>Confirm the course identity, version and 222-slide deck before class.</w:t>
      </w:r>
    </w:p>
    <w:p>
      <w:pPr>
        <w:pStyle w:val="ListBullet"/>
      </w:pPr>
      <w:r>
        <w:t>Verify that every lab folder contains README/PDF, lab.yaml, prompt, mock data, starter, solution, verifier and evidence checklist/PDF.</w:t>
      </w:r>
    </w:p>
    <w:p>
      <w:pPr>
        <w:pStyle w:val="ListBullet"/>
      </w:pPr>
      <w:r>
        <w:t>Use a learner-safe Cowork environment; keep live sends, destructive audience actions and production publishing out of scope.</w:t>
      </w:r>
    </w:p>
    <w:p>
      <w:pPr>
        <w:pStyle w:val="ListBullet"/>
      </w:pPr>
      <w:r>
        <w:t>Confirm assessment candidate papers are learner-accessible; retain answer keys in trainer-private storage only.</w:t>
      </w:r>
    </w:p>
    <w:p>
      <w:pPr>
        <w:pStyle w:val="ListBullet"/>
      </w:pPr>
      <w:r>
        <w:t>Test LMS and attendance access without exposing credentials on projected screens.</w:t>
      </w:r>
    </w:p>
    <w:p>
      <w:pPr>
        <w:pStyle w:val="Heading1"/>
      </w:pPr>
      <w:r>
        <w:t>7. References</w:t>
      </w:r>
    </w:p>
    <w:p>
      <w:pPr>
        <w:pStyle w:val="ListBullet"/>
      </w:pPr>
      <w:r>
        <w:rPr>
          <w:b/>
        </w:rPr>
        <w:t xml:space="preserve">Original v13 trainer deck: </w:t>
      </w:r>
      <w:r>
        <w:t>Local reference/legacy-v13/WSQ - Master Trainer Slides - Creating High-Converting Email Campaigns with Mailchimp - v13.pptx — Primary WSQ sequence, TSC mapping, outcomes and legacy campaign examples</w:t>
      </w:r>
    </w:p>
    <w:p>
      <w:pPr>
        <w:pStyle w:val="ListBullet"/>
      </w:pPr>
      <w:r>
        <w:rPr>
          <w:b/>
        </w:rPr>
        <w:t xml:space="preserve">Email Marketing &amp; AI: </w:t>
      </w:r>
      <w:r>
        <w:t>Local reference/Email Marketing  AI.pdf — Email strategy, lifecycle content, compliance, segmentation, optimisation and AI applications</w:t>
      </w:r>
    </w:p>
    <w:p>
      <w:pPr>
        <w:pStyle w:val="ListBullet"/>
      </w:pPr>
      <w:r>
        <w:rPr>
          <w:b/>
        </w:rPr>
        <w:t xml:space="preserve">Mastering Claude Code and Cowork: </w:t>
      </w:r>
      <w:r>
        <w:t>Local reference/MASTERING CLAUDE Cowork.pdf — Agentic loop, Cowork tasks, projects, connectors, Skills, safety and end-to-end workflows</w:t>
      </w:r>
    </w:p>
    <w:p>
      <w:pPr>
        <w:pStyle w:val="ListBullet"/>
      </w:pPr>
      <w:r>
        <w:rPr>
          <w:b/>
        </w:rPr>
        <w:t xml:space="preserve">Current course page: </w:t>
      </w:r>
      <w:r>
        <w:t>https://www.tertiarycourses.com.sg/wsq-claude-cowork-for-email-marketing.html — Current course identity, duration, outcomes and five-topic syllabus</w:t>
      </w:r>
    </w:p>
    <w:p>
      <w:pPr>
        <w:pStyle w:val="ListBullet"/>
      </w:pPr>
      <w:r>
        <w:rPr>
          <w:b/>
        </w:rPr>
        <w:t xml:space="preserve">Claude Cowork help collection: </w:t>
      </w:r>
      <w:r>
        <w:t>https://support.claude.com/en/collections/19667525-claude-cowork — Current Cowork concepts, availability and operating surfaces</w:t>
      </w:r>
    </w:p>
    <w:p>
      <w:pPr>
        <w:pStyle w:val="ListBullet"/>
      </w:pPr>
      <w:r>
        <w:rPr>
          <w:b/>
        </w:rPr>
        <w:t xml:space="preserve">Get started with Claude Cowork: </w:t>
      </w:r>
      <w:r>
        <w:t>https://support.claude.com/en/articles/13345190-get-started-with-claude-cowork — Projects, folder instructions, permissions, plugins and scheduled tasks</w:t>
      </w:r>
    </w:p>
    <w:p>
      <w:pPr>
        <w:pStyle w:val="ListBullet"/>
      </w:pPr>
      <w:r>
        <w:rPr>
          <w:b/>
        </w:rPr>
        <w:t xml:space="preserve">Use Claude Cowork safely: </w:t>
      </w:r>
      <w:r>
        <w:t>https://support.claude.com/en/articles/13364135-use-claude-cowork-safely — Untrusted content, permissions and safe task operation</w:t>
      </w:r>
    </w:p>
    <w:sectPr w:rsidR="00FC693F" w:rsidRPr="0006063C" w:rsidSect="00034616">
      <w:footerReference w:type="default" r:id="rId9"/>
      <w:pgSz w:w="12240" w:h="15840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305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75C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93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30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875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