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Data Visualisation with Tableau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TGS-2020503177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17.0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Two-day lesson plan aligned to the current visual deck, ten Tableau labs, 60-minute WA and 60-minute PP.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spacing w:before="0" w:after="0" w:line="20" w:lineRule="exact"/>
      </w:pPr>
      <w:r>
        <w:rPr>
          <w:vanish/>
          <w:sz w:val="2"/>
        </w:rP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Course Overview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Learning Outcomes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Daily Schedule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Day 1: Foundations and visualisation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Day 2: Dashboards, analytics and assessment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Topic-by-Topic Delivery Guide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01: Basic Tableau Features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02: Data Sources and Visualisation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03: Data Transformation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04: Dashboards and Stories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05: Calculations and Parameters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06: Analytics and Communication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Resources Required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Assessment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8</w:t>
            </w:r>
          </w:p>
        </w:tc>
      </w:tr>
    </w:tbl>
    <w:p>
      <w:r>
        <w:br w:type="page"/>
      </w:r>
    </w:p>
    <w:p>
      <w:pPr>
        <w:pStyle w:val="Heading1"/>
      </w:pPr>
      <w:r>
        <w:t>Course Overview</w:t>
      </w:r>
    </w:p>
    <w:p>
      <w:r>
        <w:t>Data Visualisation with Tableau is a two-day, 16-hour WSQ programme aligned to Data Visualization (ICT-DIT-3006-1.1). Learners progress through a connected Meridian Retail SG scenario using Tableau Desktop or Tableau Public and realistic synthetic Excel sources.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Course Code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TGS-2020503177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Training Duration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16 hours across 2 days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Assessment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WA 60 minutes; PP 60 minutes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Trainer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Dr Alfred Ang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Mode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Instructor-led classroom with individual Tableau labs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Apply basic Tableau features for displaying information.</w:t>
      </w:r>
    </w:p>
    <w:p>
      <w:pPr>
        <w:pStyle w:val="ListBullet"/>
      </w:pPr>
      <w:r>
        <w:t>LO2: Synthesise various plots to present data visually.</w:t>
      </w:r>
    </w:p>
    <w:p>
      <w:pPr>
        <w:pStyle w:val="ListBullet"/>
      </w:pPr>
      <w:r>
        <w:t>LO3: Transform data to create informative and dynamic data displays.</w:t>
      </w:r>
    </w:p>
    <w:p>
      <w:pPr>
        <w:pStyle w:val="ListBullet"/>
      </w:pPr>
      <w:r>
        <w:t>LO4: Create dashboards and scorecards to display internal and external benchmark data.</w:t>
      </w:r>
    </w:p>
    <w:p>
      <w:pPr>
        <w:pStyle w:val="ListBullet"/>
      </w:pPr>
      <w:r>
        <w:t>LO5: Apply calculations and parameters to create interactive graphics, visuals and technical features.</w:t>
      </w:r>
    </w:p>
    <w:p>
      <w:pPr>
        <w:pStyle w:val="ListBullet"/>
      </w:pPr>
      <w:r>
        <w:t>LO6: Perform analytics and communicate data limitations and interpretations of findings.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1: Foundations, data modelling, chart choice and transformation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09:00-09:20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Welcome, AM digital attendance, introductions and outcomes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Facilitated briefing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09:20-10:30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70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1: Tableau ecosystem, interface, field roles and hierarchies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18-36</w:t>
            </w:r>
          </w:p>
        </w:tc>
      </w:tr>
      <w:t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10:30-10:40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10:40-12:30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110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1–2: source connection, field roles and drill paths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32-35</w:t>
            </w:r>
          </w:p>
        </w:tc>
      </w:tr>
      <w:tr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12:30-13:30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13:30-14:30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2: connections, extracts, data modelling and chart choice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37-55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14:30-15:20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3–4: relationships, extracts and decision charts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51-54</w:t>
            </w:r>
          </w:p>
        </w:tc>
      </w:tr>
      <w:t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15:20-15:30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15:30-16:25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3: Data Interpreter, reshaping, filter order, groups and sets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56-74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16:25-17:40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75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 5: clean, split and pivot campaign data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70-71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17:40-18:00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Day 1 reflection, Q&amp;A and PM digital attendance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Reflection and Q&amp;A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</w:tbl>
    <w:p>
      <w:r>
        <w:rPr>
          <w:i/>
          <w:color w:val="5B6372"/>
        </w:rPr>
        <w:t xml:space="preserve">Scheduled time excluding lunch: 480 minutes (8 hours). </w:t>
      </w:r>
    </w:p>
    <w:p>
      <w:pPr>
        <w:pStyle w:val="Heading2"/>
      </w:pPr>
      <w:r>
        <w:t>Day 2: Dashboards, interactivity, calculations, analytics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09:00-09:15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Day 1 recap and AM digital attendance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Facilitated briefing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09:15-10:20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4: dashboard hierarchy, scorecards, actions and stories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76-94</w:t>
            </w:r>
          </w:p>
        </w:tc>
      </w:tr>
      <w:t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10:20-10:30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10:30-12:30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120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6–8: cohorts, executive dashboard, actions and story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72-93</w:t>
            </w:r>
          </w:p>
        </w:tc>
      </w:tr>
      <w:tr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12:30-13:30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13:30-14:15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5: calculations, table calculations, parameters and dynamic views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95-111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14:15-14:55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40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 9: dynamic profitability analysis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109-110</w:t>
            </w:r>
          </w:p>
        </w:tc>
      </w:tr>
      <w:t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14:55-15:05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15:05-15:25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6: reference context, trends, forecasts, clusters and limitations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112-128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15:25-15:50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25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 10: analytics and responsible communication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126-127</w:t>
            </w:r>
          </w:p>
        </w:tc>
      </w:tr>
      <w:tr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15:50-16:00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Assessment briefing and digital attendance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Individual summative assessment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16:00-17:00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60 min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Written Assessment (WA/SAQ), open book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Individual summative assessment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17:00-18:00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60 min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Practical Performance (PP), open book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Individual summative assessment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</w:tbl>
    <w:p>
      <w:r>
        <w:rPr>
          <w:i/>
          <w:color w:val="5B6372"/>
        </w:rPr>
        <w:t xml:space="preserve">Scheduled time excluding lunch: 480 minutes (8 hours). </w:t>
      </w:r>
    </w:p>
    <w:p>
      <w:pPr>
        <w:pStyle w:val="Heading1"/>
      </w:pPr>
      <w:r>
        <w:t>Topic-by-Topic Delivery Guide</w:t>
      </w:r>
    </w:p>
    <w:p>
      <w:pPr>
        <w:pStyle w:val="Heading2"/>
      </w:pPr>
      <w:r>
        <w:t>Topic 01: Basic Tableau Features · Slides 18-36</w:t>
      </w:r>
    </w:p>
    <w:p>
      <w:r>
        <w:t>Tableau ecosystem · interface · data roles · shelves · hierarchy</w:t>
      </w:r>
    </w:p>
    <w:p>
      <w:pPr>
        <w:pStyle w:val="ListBullet"/>
      </w:pPr>
      <w:r>
        <w:rPr>
          <w:b/>
        </w:rPr>
        <w:t xml:space="preserve">Visual analysis cycle: </w:t>
      </w:r>
      <w:r>
        <w:t>Connect, explore, explain and refine around a decision question.</w:t>
      </w:r>
    </w:p>
    <w:p>
      <w:pPr>
        <w:pStyle w:val="ListBullet"/>
      </w:pPr>
      <w:r>
        <w:rPr>
          <w:b/>
        </w:rPr>
        <w:t xml:space="preserve">Dimensions and measures: </w:t>
      </w:r>
      <w:r>
        <w:t>Dimensions slice the view; measures are aggregated to quantify it.</w:t>
      </w:r>
    </w:p>
    <w:p>
      <w:pPr>
        <w:pStyle w:val="ListBullet"/>
      </w:pPr>
      <w:r>
        <w:rPr>
          <w:b/>
        </w:rPr>
        <w:t xml:space="preserve">Discrete and continuous: </w:t>
      </w:r>
      <w:r>
        <w:t>Blue headers create categories; green axes create a continuous range.</w:t>
      </w:r>
    </w:p>
    <w:p>
      <w:pPr>
        <w:pStyle w:val="ListBullet"/>
      </w:pPr>
      <w:r>
        <w:rPr>
          <w:b/>
        </w:rPr>
        <w:t xml:space="preserve">Workbook structure: </w:t>
      </w:r>
      <w:r>
        <w:t>Worksheets build views; dashboards combine them; stories sequence insights.</w:t>
      </w:r>
    </w:p>
    <w:p>
      <w:pPr>
        <w:pStyle w:val="ListBullet"/>
      </w:pPr>
      <w:r>
        <w:rPr>
          <w:b/>
        </w:rPr>
        <w:t xml:space="preserve">Fields and metadata: </w:t>
      </w:r>
      <w:r>
        <w:t>Names, types, roles, aliases and default properties shape every view.</w:t>
      </w:r>
    </w:p>
    <w:p>
      <w:pPr>
        <w:pStyle w:val="ListBullet"/>
      </w:pPr>
      <w:r>
        <w:rPr>
          <w:b/>
        </w:rPr>
        <w:t xml:space="preserve">Hierarchy: </w:t>
      </w:r>
      <w:r>
        <w:t>Ordered levels let users drill from overview to operational detail.</w:t>
      </w:r>
    </w:p>
    <w:p>
      <w:pPr>
        <w:pStyle w:val="Heading3"/>
      </w:pPr>
      <w:r>
        <w:t>Lab 1: Connect and Profile Service Operations Data · Slides 32-33</w:t>
      </w:r>
    </w:p>
    <w:p>
      <w:r>
        <w:t>Alignment: LO1 · K1 · A1. Learner output: A connected Tableau workbook with validated field roles and a service-volume view by region and channel. Acceptance: The workbook connects without broken fields; dates and numbers have correct roles; the view reconciles to the Excel record count.</w:t>
      </w:r>
    </w:p>
    <w:p>
      <w:pPr>
        <w:pStyle w:val="Heading3"/>
      </w:pPr>
      <w:r>
        <w:t>Lab 2: Build Hierarchies and Drill Paths · Slides 34-35</w:t>
      </w:r>
    </w:p>
    <w:p>
      <w:r>
        <w:t>Alignment: LO1 · K1 · A1. Learner output: A geographic and product hierarchy with a drillable sales-and-margin view. Acceptance: Both hierarchies drill in the correct order and totals remain stable at every displayed level.</w:t>
      </w:r>
    </w:p>
    <w:p>
      <w:pPr>
        <w:pStyle w:val="Heading2"/>
      </w:pPr>
      <w:r>
        <w:t>Topic 02: Data Sources and Visualisation · Slides 37-55</w:t>
      </w:r>
    </w:p>
    <w:p>
      <w:r>
        <w:t>Connections · extracts · relationships · joins · blending · chart choice</w:t>
      </w:r>
    </w:p>
    <w:p>
      <w:pPr>
        <w:pStyle w:val="ListBullet"/>
      </w:pPr>
      <w:r>
        <w:rPr>
          <w:b/>
        </w:rPr>
        <w:t xml:space="preserve">Connection strategy: </w:t>
      </w:r>
      <w:r>
        <w:t>Choose live or extract by freshness, performance and governance needs.</w:t>
      </w:r>
    </w:p>
    <w:p>
      <w:pPr>
        <w:pStyle w:val="ListBullet"/>
      </w:pPr>
      <w:r>
        <w:rPr>
          <w:b/>
        </w:rPr>
        <w:t xml:space="preserve">Relationships: </w:t>
      </w:r>
      <w:r>
        <w:t>Preserve each table's grain and combine data at analysis time.</w:t>
      </w:r>
    </w:p>
    <w:p>
      <w:pPr>
        <w:pStyle w:val="ListBullet"/>
      </w:pPr>
      <w:r>
        <w:rPr>
          <w:b/>
        </w:rPr>
        <w:t xml:space="preserve">Joins: </w:t>
      </w:r>
      <w:r>
        <w:t>Physically combine rows; cardinality and unmatched keys determine the result.</w:t>
      </w:r>
    </w:p>
    <w:p>
      <w:pPr>
        <w:pStyle w:val="ListBullet"/>
      </w:pPr>
      <w:r>
        <w:rPr>
          <w:b/>
        </w:rPr>
        <w:t xml:space="preserve">Visual encoding: </w:t>
      </w:r>
      <w:r>
        <w:t>Position and length usually support more accurate comparisons than area or colour.</w:t>
      </w:r>
    </w:p>
    <w:p>
      <w:pPr>
        <w:pStyle w:val="ListBullet"/>
      </w:pPr>
      <w:r>
        <w:rPr>
          <w:b/>
        </w:rPr>
        <w:t xml:space="preserve">Chart purpose: </w:t>
      </w:r>
      <w:r>
        <w:t>Use bars for comparison, lines for time, scatterplots for relationship and treemaps for hierarchy.</w:t>
      </w:r>
    </w:p>
    <w:p>
      <w:pPr>
        <w:pStyle w:val="ListBullet"/>
      </w:pPr>
      <w:r>
        <w:rPr>
          <w:b/>
        </w:rPr>
        <w:t xml:space="preserve">Aggregation: </w:t>
      </w:r>
      <w:r>
        <w:t>SUM, AVG, COUNT and distinct count answer different business questions.</w:t>
      </w:r>
    </w:p>
    <w:p>
      <w:pPr>
        <w:pStyle w:val="Heading3"/>
      </w:pPr>
      <w:r>
        <w:t>Lab 3: Relate Orders, Products and Returns · Slides 51-52</w:t>
      </w:r>
    </w:p>
    <w:p>
      <w:r>
        <w:t>Alignment: LO2 · K3 · A2. Learner output: A governed multi-table data model plus an extract and reconciliation sheet. Acceptance: Order totals are not duplicated, unmatched keys are visible, and the extract refreshes from the supplied workbook.</w:t>
      </w:r>
    </w:p>
    <w:p>
      <w:pPr>
        <w:pStyle w:val="Heading3"/>
      </w:pPr>
      <w:r>
        <w:t>Lab 4: Choose and Build Decision Charts · Slides 53-54</w:t>
      </w:r>
    </w:p>
    <w:p>
      <w:r>
        <w:t>Alignment: LO2 · K3 · A2. Learner output: Four fit-for-purpose worksheets: ranked bar, quarterly line, profit-sales scatterplot and category treemap. Acceptance: Every chart answers its stated question, uses truthful axes, and includes enough context to interpret the marks.</w:t>
      </w:r>
    </w:p>
    <w:p>
      <w:pPr>
        <w:pStyle w:val="Heading2"/>
      </w:pPr>
      <w:r>
        <w:t>Topic 03: Data Transformation · Slides 56-74</w:t>
      </w:r>
    </w:p>
    <w:p>
      <w:r>
        <w:t>Data Interpreter · split · merge · pivot · filters · groups · sets</w:t>
      </w:r>
    </w:p>
    <w:p>
      <w:pPr>
        <w:pStyle w:val="ListBullet"/>
      </w:pPr>
      <w:r>
        <w:rPr>
          <w:b/>
        </w:rPr>
        <w:t xml:space="preserve">Analysis-ready structure: </w:t>
      </w:r>
      <w:r>
        <w:t>One row is one observation; one column is one variable; one table is one grain.</w:t>
      </w:r>
    </w:p>
    <w:p>
      <w:pPr>
        <w:pStyle w:val="ListBullet"/>
      </w:pPr>
      <w:r>
        <w:rPr>
          <w:b/>
        </w:rPr>
        <w:t xml:space="preserve">Data Interpreter: </w:t>
      </w:r>
      <w:r>
        <w:t>Removes presentation clutter from spreadsheets while preserving the underlying evidence.</w:t>
      </w:r>
    </w:p>
    <w:p>
      <w:pPr>
        <w:pStyle w:val="ListBullet"/>
      </w:pPr>
      <w:r>
        <w:rPr>
          <w:b/>
        </w:rPr>
        <w:t xml:space="preserve">Split and pivot: </w:t>
      </w:r>
      <w:r>
        <w:t>Separate compound fields and reshape wide columns into analysis-ready rows.</w:t>
      </w:r>
    </w:p>
    <w:p>
      <w:pPr>
        <w:pStyle w:val="ListBullet"/>
      </w:pPr>
      <w:r>
        <w:rPr>
          <w:b/>
        </w:rPr>
        <w:t xml:space="preserve">Filter order: </w:t>
      </w:r>
      <w:r>
        <w:t>Extract, source, context, dimension and measure filters do not behave identically.</w:t>
      </w:r>
    </w:p>
    <w:p>
      <w:pPr>
        <w:pStyle w:val="ListBullet"/>
      </w:pPr>
      <w:r>
        <w:rPr>
          <w:b/>
        </w:rPr>
        <w:t xml:space="preserve">Groups: </w:t>
      </w:r>
      <w:r>
        <w:t>Combine members into a stable business category.</w:t>
      </w:r>
    </w:p>
    <w:p>
      <w:pPr>
        <w:pStyle w:val="ListBullet"/>
      </w:pPr>
      <w:r>
        <w:rPr>
          <w:b/>
        </w:rPr>
        <w:t xml:space="preserve">Sets: </w:t>
      </w:r>
      <w:r>
        <w:t>Define a dynamic in/out population that can drive comparisons and actions.</w:t>
      </w:r>
    </w:p>
    <w:p>
      <w:pPr>
        <w:pStyle w:val="Heading3"/>
      </w:pPr>
      <w:r>
        <w:t>Lab 5: Clean, Split and Pivot Campaign Data · Slides 70-71</w:t>
      </w:r>
    </w:p>
    <w:p>
      <w:r>
        <w:t>Alignment: LO3 · K4 · A3. Learner output: An analysis-ready long table with clean location fields and documented transformation checks. Acceptance: The transformed data has one row per campaign-month, clean location fields, no blank campaign key and reconciled spend totals.</w:t>
      </w:r>
    </w:p>
    <w:p>
      <w:pPr>
        <w:pStyle w:val="Heading3"/>
      </w:pPr>
      <w:r>
        <w:t>Lab 6: Filter, Group and Set Customer Segments · Slides 72-73</w:t>
      </w:r>
    </w:p>
    <w:p>
      <w:r>
        <w:t>Alignment: LO3 · K4 · A3. Learner output: A segment view using context filters, grouped categories and a top-customer set. Acceptance: The high-value set responds to the selected period and the business grouping is explainable from the source fields.</w:t>
      </w:r>
    </w:p>
    <w:p>
      <w:pPr>
        <w:pStyle w:val="Heading2"/>
      </w:pPr>
      <w:r>
        <w:t>Topic 04: Dashboards and Stories · Slides 76-94</w:t>
      </w:r>
    </w:p>
    <w:p>
      <w:r>
        <w:t>KPI scorecards · layout · actions · device design · story sequence</w:t>
      </w:r>
    </w:p>
    <w:p>
      <w:pPr>
        <w:pStyle w:val="ListBullet"/>
      </w:pPr>
      <w:r>
        <w:rPr>
          <w:b/>
        </w:rPr>
        <w:t xml:space="preserve">Four Ws: </w:t>
      </w:r>
      <w:r>
        <w:t>Who is the audience, what decision, when is it used and where is action taken?</w:t>
      </w:r>
    </w:p>
    <w:p>
      <w:pPr>
        <w:pStyle w:val="ListBullet"/>
      </w:pPr>
      <w:r>
        <w:rPr>
          <w:b/>
        </w:rPr>
        <w:t xml:space="preserve">Dashboard hierarchy: </w:t>
      </w:r>
      <w:r>
        <w:t>Lead with decision KPIs, then trends, drivers and diagnostic detail.</w:t>
      </w:r>
    </w:p>
    <w:p>
      <w:pPr>
        <w:pStyle w:val="ListBullet"/>
      </w:pPr>
      <w:r>
        <w:rPr>
          <w:b/>
        </w:rPr>
        <w:t xml:space="preserve">Layout containers: </w:t>
      </w:r>
      <w:r>
        <w:t>Tiled containers create predictable alignment; floating objects need deliberate control.</w:t>
      </w:r>
    </w:p>
    <w:p>
      <w:pPr>
        <w:pStyle w:val="ListBullet"/>
      </w:pPr>
      <w:r>
        <w:rPr>
          <w:b/>
        </w:rPr>
        <w:t xml:space="preserve">Actions: </w:t>
      </w:r>
      <w:r>
        <w:t>Filter, highlight, URL, navigation, parameter and set actions create purposeful interaction.</w:t>
      </w:r>
    </w:p>
    <w:p>
      <w:pPr>
        <w:pStyle w:val="ListBullet"/>
      </w:pPr>
      <w:r>
        <w:rPr>
          <w:b/>
        </w:rPr>
        <w:t xml:space="preserve">Benchmark context: </w:t>
      </w:r>
      <w:r>
        <w:t>Targets, prior periods and peer ranges turn values into performance signals.</w:t>
      </w:r>
    </w:p>
    <w:p>
      <w:pPr>
        <w:pStyle w:val="ListBullet"/>
      </w:pPr>
      <w:r>
        <w:rPr>
          <w:b/>
        </w:rPr>
        <w:t xml:space="preserve">Stories: </w:t>
      </w:r>
      <w:r>
        <w:t>A sequence of story points communicates change, evidence and decision.</w:t>
      </w:r>
    </w:p>
    <w:p>
      <w:pPr>
        <w:pStyle w:val="Heading3"/>
      </w:pPr>
      <w:r>
        <w:t>Lab 7: Build an Executive Performance Dashboard · Slides 90-91</w:t>
      </w:r>
    </w:p>
    <w:p>
      <w:r>
        <w:t>Alignment: LO4 · K5 · A4. Learner output: A 16:9 scorecard dashboard with KPI tiles, trend, ranked outlets, benchmark context and visible filter state. Acceptance: The dashboard is readable at presentation size, totals reconcile, active filters are visible and every element supports a named decision.</w:t>
      </w:r>
    </w:p>
    <w:p>
      <w:pPr>
        <w:pStyle w:val="Heading3"/>
      </w:pPr>
      <w:r>
        <w:t>Lab 8: Add Actions and Tell a Performance Story · Slides 92-93</w:t>
      </w:r>
    </w:p>
    <w:p>
      <w:r>
        <w:t>Alignment: LO4 · K5 · A4. Learner output: A dashboard with filter/highlight/navigation actions and a five-point performance story. Acceptance: Actions work from the intended source sheets, preserve context and the story ends with an evidence-backed action.</w:t>
      </w:r>
    </w:p>
    <w:p>
      <w:pPr>
        <w:pStyle w:val="Heading2"/>
      </w:pPr>
      <w:r>
        <w:t>Topic 05: Calculations and Parameters · Slides 95-111</w:t>
      </w:r>
    </w:p>
    <w:p>
      <w:r>
        <w:t>Calculated fields · table calculations · logic · parameters · dynamic views</w:t>
      </w:r>
    </w:p>
    <w:p>
      <w:pPr>
        <w:pStyle w:val="ListBullet"/>
      </w:pPr>
      <w:r>
        <w:rPr>
          <w:b/>
        </w:rPr>
        <w:t xml:space="preserve">Row-level calculation: </w:t>
      </w:r>
      <w:r>
        <w:t>Evaluated for each record before aggregation.</w:t>
      </w:r>
    </w:p>
    <w:p>
      <w:pPr>
        <w:pStyle w:val="ListBullet"/>
      </w:pPr>
      <w:r>
        <w:rPr>
          <w:b/>
        </w:rPr>
        <w:t xml:space="preserve">Aggregate calculation: </w:t>
      </w:r>
      <w:r>
        <w:t>Combines measures at the view's level of detail.</w:t>
      </w:r>
    </w:p>
    <w:p>
      <w:pPr>
        <w:pStyle w:val="ListBullet"/>
      </w:pPr>
      <w:r>
        <w:rPr>
          <w:b/>
        </w:rPr>
        <w:t xml:space="preserve">Table calculation: </w:t>
      </w:r>
      <w:r>
        <w:t>Computed over the marks already returned to the visualisation.</w:t>
      </w:r>
    </w:p>
    <w:p>
      <w:pPr>
        <w:pStyle w:val="ListBullet"/>
      </w:pPr>
      <w:r>
        <w:rPr>
          <w:b/>
        </w:rPr>
        <w:t xml:space="preserve">Logical design: </w:t>
      </w:r>
      <w:r>
        <w:t>IF, IIF and CASE translate business rules into transparent classifications.</w:t>
      </w:r>
    </w:p>
    <w:p>
      <w:pPr>
        <w:pStyle w:val="ListBullet"/>
      </w:pPr>
      <w:r>
        <w:rPr>
          <w:b/>
        </w:rPr>
        <w:t xml:space="preserve">Parameters: </w:t>
      </w:r>
      <w:r>
        <w:t>Single values controlled by the user; pair them with calculations or actions to change behaviour.</w:t>
      </w:r>
    </w:p>
    <w:p>
      <w:pPr>
        <w:pStyle w:val="ListBullet"/>
      </w:pPr>
      <w:r>
        <w:rPr>
          <w:b/>
        </w:rPr>
        <w:t xml:space="preserve">Dynamic view: </w:t>
      </w:r>
      <w:r>
        <w:t>A parameter can switch metrics, thresholds, reference values or dimensions.</w:t>
      </w:r>
    </w:p>
    <w:p>
      <w:pPr>
        <w:pStyle w:val="Heading3"/>
      </w:pPr>
      <w:r>
        <w:t>Lab 9: Create Dynamic Profitability Analysis · Slides 109-110</w:t>
      </w:r>
    </w:p>
    <w:p>
      <w:r>
        <w:t>Alignment: LO5 · K2 · A5. Learner output: A dynamic metric view with calculated fields, parameter controls, table calculations and a threshold filter. Acceptance: Metric and threshold controls change the view correctly, formulas reconcile to Excel controls and invalid denominator cases are handled.</w:t>
      </w:r>
    </w:p>
    <w:p>
      <w:pPr>
        <w:pStyle w:val="Heading2"/>
      </w:pPr>
      <w:r>
        <w:t>Topic 06: Analytics and Communication · Slides 112-128</w:t>
      </w:r>
    </w:p>
    <w:p>
      <w:r>
        <w:t>Reference lines · trends · forecasts · clusters · limitations · data stories</w:t>
      </w:r>
    </w:p>
    <w:p>
      <w:pPr>
        <w:pStyle w:val="ListBullet"/>
      </w:pPr>
      <w:r>
        <w:rPr>
          <w:b/>
        </w:rPr>
        <w:t xml:space="preserve">Reference context: </w:t>
      </w:r>
      <w:r>
        <w:t>Average, median, target and distribution bands help the audience judge performance.</w:t>
      </w:r>
    </w:p>
    <w:p>
      <w:pPr>
        <w:pStyle w:val="ListBullet"/>
      </w:pPr>
      <w:r>
        <w:rPr>
          <w:b/>
        </w:rPr>
        <w:t xml:space="preserve">Trend models: </w:t>
      </w:r>
      <w:r>
        <w:t>A fitted line summarises association; it does not establish causality.</w:t>
      </w:r>
    </w:p>
    <w:p>
      <w:pPr>
        <w:pStyle w:val="ListBullet"/>
      </w:pPr>
      <w:r>
        <w:rPr>
          <w:b/>
        </w:rPr>
        <w:t xml:space="preserve">Forecast: </w:t>
      </w:r>
      <w:r>
        <w:t>Tableau extends a time series under model assumptions and expresses uncertainty.</w:t>
      </w:r>
    </w:p>
    <w:p>
      <w:pPr>
        <w:pStyle w:val="ListBullet"/>
      </w:pPr>
      <w:r>
        <w:rPr>
          <w:b/>
        </w:rPr>
        <w:t xml:space="preserve">Clustering: </w:t>
      </w:r>
      <w:r>
        <w:t>Groups similar marks from selected features; business labels require interpretation.</w:t>
      </w:r>
    </w:p>
    <w:p>
      <w:pPr>
        <w:pStyle w:val="ListBullet"/>
      </w:pPr>
      <w:r>
        <w:rPr>
          <w:b/>
        </w:rPr>
        <w:t xml:space="preserve">Limitations: </w:t>
      </w:r>
      <w:r>
        <w:t>Data coverage, quality, granularity, bias and model assumptions bound the conclusion.</w:t>
      </w:r>
    </w:p>
    <w:p>
      <w:pPr>
        <w:pStyle w:val="ListBullet"/>
      </w:pPr>
      <w:r>
        <w:rPr>
          <w:b/>
        </w:rPr>
        <w:t xml:space="preserve">Responsible narrative: </w:t>
      </w:r>
      <w:r>
        <w:t>Separate observation, interpretation, recommendation and uncertainty.</w:t>
      </w:r>
    </w:p>
    <w:p>
      <w:pPr>
        <w:pStyle w:val="Heading3"/>
      </w:pPr>
      <w:r>
        <w:t>Lab 10: Analyse Trends, Forecasts and Clusters · Slides 126-127</w:t>
      </w:r>
    </w:p>
    <w:p>
      <w:r>
        <w:t>Alignment: LO6 · K1 · A6. Learner output: An analytics workbook with reference context, trend, forecast, clustering and a limitations-led decision narrative. Acceptance: The workbook states assumptions and limitations, distinguishes association from causation, and reports at least one action with a monitoring trigger.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Tableau Desktop or Tableau Public on each learner laptop.</w:t>
      </w:r>
    </w:p>
    <w:p>
      <w:pPr>
        <w:pStyle w:val="ListBullet"/>
      </w:pPr>
      <w:r>
        <w:t>Learner Guide and ten numbered lab folders.</w:t>
      </w:r>
    </w:p>
    <w:p>
      <w:pPr>
        <w:pStyle w:val="ListBullet"/>
      </w:pPr>
      <w:r>
        <w:t>Starter Excel workbook plus `.twb` and `.twbx` sample for every lab.</w:t>
      </w:r>
    </w:p>
    <w:p>
      <w:pPr>
        <w:pStyle w:val="ListBullet"/>
      </w:pPr>
      <w:r>
        <w:t>Projector for concept briefings and demonstrations.</w:t>
      </w:r>
    </w:p>
    <w:p>
      <w:pPr>
        <w:pStyle w:val="ListBullet"/>
      </w:pPr>
      <w:r>
        <w:t>LMS/TMS access for courseware, attendance and assessment submission.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(WA/SAQ) — 5 open-ended questions, 60 minutes, open book.</w:t>
      </w:r>
    </w:p>
    <w:p>
      <w:pPr>
        <w:pStyle w:val="ListBullet"/>
      </w:pPr>
      <w:r>
        <w:t>Practical Performance (PP) — 6 connected Tableau tasks, 60 minutes, open book.</w:t>
      </w:r>
    </w:p>
    <w:p>
      <w:pPr>
        <w:pStyle w:val="ListBullet"/>
      </w:pPr>
      <w:r>
        <w:t>Assessment runs from 4:00 PM to 6:00 PM on Day 2.</w:t>
      </w:r>
    </w:p>
    <w:p>
      <w:pPr>
        <w:pStyle w:val="ListBullet"/>
      </w:pPr>
      <w:r>
        <w:t>Assessment is individual and open book. Learners submit the completed papers and required Tableau evidence through the LMS.</w:t>
      </w:r>
    </w:p>
    <w:p>
      <w:pPr>
        <w:pStyle w:val="ListBullet"/>
      </w:pPr>
      <w:r>
        <w:t>The new papers mirror the current v11 instrument type, question/task count, K/A mapping and timing.</w:t>
      </w:r>
    </w:p>
    <w:sectPr w:rsidR="00FC693F" w:rsidRPr="0006063C" w:rsidSect="00034616">
      <w:foot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